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71B" w:rsidRDefault="0047071B" w:rsidP="00BC0D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7071B" w:rsidRDefault="0047071B" w:rsidP="0047071B"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Extrait de : </w:t>
      </w:r>
      <w:r w:rsidRPr="00707600">
        <w:rPr>
          <w:rFonts w:ascii="TimesNewRomanPS-BoldMT" w:hAnsi="TimesNewRomanPS-BoldMT" w:cs="TimesNewRomanPS-BoldMT"/>
          <w:b/>
          <w:bCs/>
          <w:i/>
          <w:sz w:val="20"/>
          <w:szCs w:val="20"/>
        </w:rPr>
        <w:t>Module II : Introduction à la Topométrie, la Géodésie et le GPS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, </w:t>
      </w:r>
      <w:r w:rsidRPr="00707600">
        <w:rPr>
          <w:rFonts w:ascii="TimesNewRomanPS-BoldMT" w:hAnsi="TimesNewRomanPS-BoldMT" w:cs="TimesNewRomanPS-BoldMT"/>
          <w:b/>
          <w:bCs/>
          <w:sz w:val="20"/>
          <w:szCs w:val="20"/>
          <w:u w:val="single"/>
        </w:rPr>
        <w:t>La Géomatique et ses Référentiels GMT-6000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, </w:t>
      </w:r>
      <w:proofErr w:type="spellStart"/>
      <w:r>
        <w:rPr>
          <w:rFonts w:ascii="TimesNewRomanPS-BoldMT" w:hAnsi="TimesNewRomanPS-BoldMT" w:cs="TimesNewRomanPS-BoldMT"/>
          <w:b/>
          <w:bCs/>
          <w:sz w:val="20"/>
          <w:szCs w:val="20"/>
        </w:rPr>
        <w:t>Hedia</w:t>
      </w:r>
      <w:proofErr w:type="spellEnd"/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0"/>
          <w:szCs w:val="20"/>
        </w:rPr>
        <w:t>Sammari</w:t>
      </w:r>
      <w:proofErr w:type="spellEnd"/>
      <w:r>
        <w:rPr>
          <w:rFonts w:ascii="TimesNewRomanPS-BoldMT" w:hAnsi="TimesNewRomanPS-BoldMT" w:cs="TimesNewRomanPS-BoldMT"/>
          <w:b/>
          <w:bCs/>
          <w:sz w:val="20"/>
          <w:szCs w:val="20"/>
        </w:rPr>
        <w:t>, Édition 2014 Révisé Janvier 2016, Université Laval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, pages 18-19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.</w:t>
      </w:r>
    </w:p>
    <w:p w:rsidR="00BC0DD8" w:rsidRDefault="00BC0DD8" w:rsidP="00BC0D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La topométrie routière :</w:t>
      </w:r>
    </w:p>
    <w:p w:rsidR="0047071B" w:rsidRDefault="0047071B" w:rsidP="00BC0D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A095B" w:rsidRDefault="00BC0DD8" w:rsidP="004707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Elle s’occupe des grands travaux relatifs </w:t>
      </w:r>
      <w:r w:rsidR="0047071B">
        <w:rPr>
          <w:rFonts w:ascii="Calibri" w:hAnsi="Calibri" w:cs="Calibri"/>
          <w:sz w:val="24"/>
          <w:szCs w:val="24"/>
        </w:rPr>
        <w:t>à</w:t>
      </w:r>
      <w:r>
        <w:rPr>
          <w:rFonts w:ascii="Calibri" w:hAnsi="Calibri" w:cs="Calibri"/>
          <w:sz w:val="24"/>
          <w:szCs w:val="24"/>
        </w:rPr>
        <w:t xml:space="preserve"> la construction de</w:t>
      </w:r>
      <w:r w:rsidR="0047071B">
        <w:rPr>
          <w:rFonts w:ascii="Calibri" w:hAnsi="Calibri" w:cs="Calibri"/>
          <w:sz w:val="24"/>
          <w:szCs w:val="24"/>
        </w:rPr>
        <w:t xml:space="preserve">s différents types de réseau de </w:t>
      </w:r>
      <w:r>
        <w:rPr>
          <w:rFonts w:ascii="Calibri" w:hAnsi="Calibri" w:cs="Calibri"/>
          <w:sz w:val="24"/>
          <w:szCs w:val="24"/>
        </w:rPr>
        <w:t>transport tels que les routes, les autoroutes, les chemins d</w:t>
      </w:r>
      <w:r w:rsidR="0047071B">
        <w:rPr>
          <w:rFonts w:ascii="Calibri" w:hAnsi="Calibri" w:cs="Calibri"/>
          <w:sz w:val="24"/>
          <w:szCs w:val="24"/>
        </w:rPr>
        <w:t>e fer, etc. Elle consiste en la localisation du tracé, la réalisation de tracé</w:t>
      </w:r>
      <w:r>
        <w:rPr>
          <w:rFonts w:ascii="Calibri" w:hAnsi="Calibri" w:cs="Calibri"/>
          <w:sz w:val="24"/>
          <w:szCs w:val="24"/>
        </w:rPr>
        <w:t xml:space="preserve"> de profils en long et en travers, l’</w:t>
      </w:r>
      <w:r w:rsidR="0047071B">
        <w:rPr>
          <w:rFonts w:ascii="Calibri" w:hAnsi="Calibri" w:cs="Calibri"/>
          <w:sz w:val="24"/>
          <w:szCs w:val="24"/>
        </w:rPr>
        <w:t xml:space="preserve">implantation de la </w:t>
      </w:r>
      <w:r>
        <w:rPr>
          <w:rFonts w:ascii="Calibri" w:hAnsi="Calibri" w:cs="Calibri"/>
          <w:sz w:val="24"/>
          <w:szCs w:val="24"/>
        </w:rPr>
        <w:t>ligne centrale de la route, etc.</w:t>
      </w:r>
    </w:p>
    <w:p w:rsidR="00BC0DD8" w:rsidRDefault="00BC0DD8" w:rsidP="00BC0DD8">
      <w:pPr>
        <w:rPr>
          <w:rFonts w:ascii="Calibri" w:hAnsi="Calibri" w:cs="Calibri"/>
          <w:sz w:val="24"/>
          <w:szCs w:val="24"/>
        </w:rPr>
      </w:pPr>
    </w:p>
    <w:p w:rsidR="00BC0DD8" w:rsidRDefault="00BC0DD8" w:rsidP="00BC0DD8">
      <w:r>
        <w:rPr>
          <w:noProof/>
          <w:lang w:eastAsia="fr-CA"/>
        </w:rPr>
        <w:drawing>
          <wp:inline distT="0" distB="0" distL="0" distR="0">
            <wp:extent cx="4391025" cy="286105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164" cy="2865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DD8" w:rsidRDefault="00BC0DD8" w:rsidP="00BC0D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BC0DD8" w:rsidRDefault="00BC0DD8" w:rsidP="00BC0D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BC0DD8" w:rsidRDefault="00BC0DD8" w:rsidP="00BC0D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Figure 16 : Chantier de construction d’une voie ferrée (source : http://www.planetetp.</w:t>
      </w:r>
    </w:p>
    <w:p w:rsidR="00BC0DD8" w:rsidRDefault="00BC0DD8" w:rsidP="00BC0DD8">
      <w:pPr>
        <w:rPr>
          <w:rFonts w:ascii="TimesNewRomanPS-BoldMT" w:hAnsi="TimesNewRomanPS-BoldMT" w:cs="TimesNewRomanPS-BoldMT"/>
          <w:b/>
          <w:bCs/>
          <w:sz w:val="20"/>
          <w:szCs w:val="20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20"/>
          <w:szCs w:val="20"/>
        </w:rPr>
        <w:t>com</w:t>
      </w:r>
      <w:proofErr w:type="spellEnd"/>
      <w:r>
        <w:rPr>
          <w:rFonts w:ascii="TimesNewRomanPS-BoldMT" w:hAnsi="TimesNewRomanPS-BoldMT" w:cs="TimesNewRomanPS-BoldMT"/>
          <w:b/>
          <w:bCs/>
          <w:sz w:val="20"/>
          <w:szCs w:val="20"/>
        </w:rPr>
        <w:t>/article.php3</w:t>
      </w:r>
      <w:proofErr w:type="gramStart"/>
      <w:r>
        <w:rPr>
          <w:rFonts w:ascii="TimesNewRomanPS-BoldMT" w:hAnsi="TimesNewRomanPS-BoldMT" w:cs="TimesNewRomanPS-BoldMT"/>
          <w:b/>
          <w:bCs/>
          <w:sz w:val="20"/>
          <w:szCs w:val="20"/>
        </w:rPr>
        <w:t>?id</w:t>
      </w:r>
      <w:proofErr w:type="gramEnd"/>
      <w:r>
        <w:rPr>
          <w:rFonts w:ascii="TimesNewRomanPS-BoldMT" w:hAnsi="TimesNewRomanPS-BoldMT" w:cs="TimesNewRomanPS-BoldMT"/>
          <w:b/>
          <w:bCs/>
          <w:sz w:val="20"/>
          <w:szCs w:val="20"/>
        </w:rPr>
        <w:t>_article=938)</w:t>
      </w:r>
    </w:p>
    <w:p w:rsidR="0047071B" w:rsidRPr="0047071B" w:rsidRDefault="0047071B" w:rsidP="00BC0DD8">
      <w:pPr>
        <w:rPr>
          <w:rFonts w:ascii="TimesNewRomanPS-BoldMT" w:hAnsi="TimesNewRomanPS-BoldMT" w:cs="TimesNewRomanPS-BoldMT"/>
          <w:b/>
          <w:bCs/>
          <w:sz w:val="20"/>
          <w:szCs w:val="20"/>
        </w:rPr>
      </w:pPr>
      <w:bookmarkStart w:id="0" w:name="_GoBack"/>
      <w:bookmarkEnd w:id="0"/>
    </w:p>
    <w:sectPr w:rsidR="0047071B" w:rsidRPr="0047071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DD8"/>
    <w:rsid w:val="0047071B"/>
    <w:rsid w:val="007A095B"/>
    <w:rsid w:val="00BC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0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0D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0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0D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École des pêches et de l'aquaculture du Québec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2016-03-01T17:47:00Z</dcterms:created>
  <dcterms:modified xsi:type="dcterms:W3CDTF">2016-03-01T18:03:00Z</dcterms:modified>
</cp:coreProperties>
</file>