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87C4" w14:textId="1CBEFB06" w:rsidR="00C01C6F" w:rsidRDefault="00BA1789">
      <w:r>
        <w:t>Variación de la clase de un producto no conforme, de tal forma que sea conforme con requisitos que difieren de los iniciales.</w:t>
      </w:r>
    </w:p>
    <w:p w14:paraId="65B0D4A4" w14:textId="13EA52E5" w:rsidR="003835F4" w:rsidRDefault="003835F4">
      <w:r w:rsidRPr="003835F4">
        <w:t>(ISO, 2000).</w:t>
      </w:r>
    </w:p>
    <w:sectPr w:rsidR="00383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89"/>
    <w:rsid w:val="003835F4"/>
    <w:rsid w:val="00BA1789"/>
    <w:rsid w:val="00C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FA15"/>
  <w15:chartTrackingRefBased/>
  <w15:docId w15:val="{96328A0A-DB70-430C-894B-55423CBA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2023-03-11T22:51:00Z</dcterms:created>
  <dcterms:modified xsi:type="dcterms:W3CDTF">2023-03-16T05:33:00Z</dcterms:modified>
</cp:coreProperties>
</file>