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80" w:type="dxa"/>
        <w:tblCellSpacing w:w="50" w:type="dxa"/>
        <w:tblCellMar>
          <w:left w:w="0" w:type="dxa"/>
          <w:right w:w="0" w:type="dxa"/>
        </w:tblCellMar>
        <w:tblLook w:val="0000"/>
      </w:tblPr>
      <w:tblGrid>
        <w:gridCol w:w="13580"/>
      </w:tblGrid>
      <w:tr w:rsidR="004567D3" w:rsidRPr="004567D3" w:rsidTr="004567D3">
        <w:trPr>
          <w:trHeight w:val="1480"/>
          <w:tblCellSpacing w:w="50" w:type="dxa"/>
        </w:trPr>
        <w:tc>
          <w:tcPr>
            <w:tcW w:w="13460" w:type="dxa"/>
            <w:shd w:val="clear" w:color="auto" w:fill="auto"/>
            <w:vAlign w:val="center"/>
          </w:tcPr>
          <w:tbl>
            <w:tblPr>
              <w:tblW w:w="1332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514"/>
              <w:gridCol w:w="11806"/>
            </w:tblGrid>
            <w:tr w:rsidR="004567D3" w:rsidRPr="004567D3" w:rsidTr="004567D3">
              <w:trPr>
                <w:trHeight w:val="420"/>
                <w:tblCellSpacing w:w="0" w:type="dxa"/>
              </w:trPr>
              <w:tc>
                <w:tcPr>
                  <w:tcW w:w="0" w:type="auto"/>
                  <w:gridSpan w:val="2"/>
                  <w:tcBorders>
                    <w:top w:val="outset" w:sz="6" w:space="0" w:color="003333"/>
                    <w:left w:val="outset" w:sz="6" w:space="0" w:color="003333"/>
                    <w:bottom w:val="outset" w:sz="6" w:space="0" w:color="003333"/>
                    <w:right w:val="outset" w:sz="6" w:space="0" w:color="003333"/>
                  </w:tcBorders>
                  <w:shd w:val="clear" w:color="auto" w:fill="999966"/>
                  <w:vAlign w:val="center"/>
                </w:tcPr>
                <w:p w:rsidR="004567D3" w:rsidRPr="004567D3" w:rsidRDefault="004567D3" w:rsidP="004567D3">
                  <w:pPr>
                    <w:rPr>
                      <w:rFonts w:ascii="Times" w:hAnsi="Times"/>
                      <w:sz w:val="20"/>
                      <w:szCs w:val="20"/>
                    </w:rPr>
                  </w:pPr>
                  <w:r w:rsidRPr="004567D3">
                    <w:rPr>
                      <w:rFonts w:ascii="Verdana" w:hAnsi="Verdana"/>
                      <w:b/>
                      <w:sz w:val="20"/>
                      <w:szCs w:val="20"/>
                    </w:rPr>
                    <w:t> </w:t>
                  </w:r>
                  <w:r w:rsidRPr="004567D3">
                    <w:rPr>
                      <w:rFonts w:ascii="Arial" w:hAnsi="Arial"/>
                      <w:b/>
                      <w:sz w:val="20"/>
                      <w:szCs w:val="20"/>
                    </w:rPr>
                    <w:t>Citation</w:t>
                  </w:r>
                </w:p>
              </w:tc>
            </w:tr>
            <w:tr w:rsidR="004567D3" w:rsidRPr="004567D3" w:rsidTr="004567D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r w:rsidRPr="004567D3">
                    <w:rPr>
                      <w:rFonts w:ascii="Arial" w:hAnsi="Arial"/>
                      <w:sz w:val="20"/>
                      <w:szCs w:val="20"/>
                    </w:rPr>
                    <w:t>  </w:t>
                  </w:r>
                  <w:proofErr w:type="spellStart"/>
                  <w:r w:rsidRPr="004567D3">
                    <w:rPr>
                      <w:rFonts w:ascii="Arial" w:hAnsi="Arial"/>
                      <w:sz w:val="20"/>
                      <w:szCs w:val="20"/>
                    </w:rPr>
                    <w:t>Achtemeier</w:t>
                  </w:r>
                  <w:proofErr w:type="spellEnd"/>
                  <w:r w:rsidRPr="004567D3">
                    <w:rPr>
                      <w:rFonts w:ascii="Arial" w:hAnsi="Arial"/>
                      <w:sz w:val="20"/>
                      <w:szCs w:val="20"/>
                    </w:rPr>
                    <w:t>, S.D., Morris, L.V., and Finnegan, C.L. (2003). Considerations for developing evaluations of online courses. Journal of Asynchronous Learning Networks, 7(1). http://www.aln.org/publications/jaln/v7n1/v7n1_achtemeier.asp</w:t>
                  </w:r>
                </w:p>
              </w:tc>
            </w:tr>
            <w:tr w:rsidR="004567D3" w:rsidRPr="004567D3" w:rsidTr="004567D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66"/>
                  <w:vAlign w:val="center"/>
                </w:tcPr>
                <w:p w:rsidR="004567D3" w:rsidRPr="004567D3" w:rsidRDefault="004567D3" w:rsidP="004567D3">
                  <w:pPr>
                    <w:rPr>
                      <w:rFonts w:ascii="Times" w:hAnsi="Times"/>
                      <w:sz w:val="20"/>
                      <w:szCs w:val="20"/>
                    </w:rPr>
                  </w:pPr>
                  <w:r w:rsidRPr="004567D3">
                    <w:rPr>
                      <w:rFonts w:ascii="Times" w:hAnsi="Times"/>
                      <w:sz w:val="20"/>
                      <w:szCs w:val="20"/>
                    </w:rPr>
                    <w:t>Synopsis</w:t>
                  </w:r>
                </w:p>
              </w:tc>
            </w:tr>
            <w:tr w:rsidR="004567D3" w:rsidRPr="004567D3" w:rsidTr="004567D3">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hyperlink r:id="rId4" w:history="1">
                    <w:r w:rsidRPr="004567D3">
                      <w:rPr>
                        <w:rFonts w:ascii="Times" w:hAnsi="Times"/>
                        <w:color w:val="0000FF"/>
                        <w:sz w:val="20"/>
                        <w:szCs w:val="20"/>
                        <w:u w:val="single"/>
                      </w:rPr>
                      <w:t>Detail</w:t>
                    </w:r>
                  </w:hyperlink>
                </w:p>
              </w:tc>
              <w:tc>
                <w:tcPr>
                  <w:tcW w:w="11700" w:type="dxa"/>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r w:rsidRPr="004567D3">
                    <w:rPr>
                      <w:rFonts w:ascii="Times" w:hAnsi="Times"/>
                      <w:sz w:val="20"/>
                      <w:szCs w:val="20"/>
                    </w:rPr>
                    <w:t>The article reviews a wealth of literature on best practices for teaching online courses. The researchers also evaluate the appropriateness of assessment tools used in thirteen institutions in Georgia to redesign an evaluation tool for on-line courses.</w:t>
                  </w:r>
                </w:p>
              </w:tc>
            </w:tr>
          </w:tbl>
          <w:p w:rsidR="004567D3" w:rsidRPr="004567D3" w:rsidRDefault="004567D3" w:rsidP="004567D3">
            <w:pPr>
              <w:shd w:val="clear" w:color="auto" w:fill="FFFFFF"/>
              <w:rPr>
                <w:rFonts w:ascii="Times" w:hAnsi="Times"/>
                <w:vanish/>
                <w:sz w:val="20"/>
                <w:szCs w:val="20"/>
              </w:rPr>
            </w:pPr>
          </w:p>
          <w:tbl>
            <w:tblPr>
              <w:tblW w:w="1332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295"/>
              <w:gridCol w:w="12025"/>
            </w:tblGrid>
            <w:tr w:rsidR="004567D3" w:rsidRPr="004567D3" w:rsidTr="004567D3">
              <w:trPr>
                <w:trHeight w:val="420"/>
                <w:tblCellSpacing w:w="0" w:type="dxa"/>
              </w:trPr>
              <w:tc>
                <w:tcPr>
                  <w:tcW w:w="0" w:type="auto"/>
                  <w:gridSpan w:val="2"/>
                  <w:tcBorders>
                    <w:top w:val="outset" w:sz="6" w:space="0" w:color="003333"/>
                    <w:left w:val="outset" w:sz="6" w:space="0" w:color="003333"/>
                    <w:bottom w:val="outset" w:sz="6" w:space="0" w:color="003333"/>
                    <w:right w:val="outset" w:sz="6" w:space="0" w:color="003333"/>
                  </w:tcBorders>
                  <w:shd w:val="clear" w:color="auto" w:fill="999966"/>
                  <w:vAlign w:val="center"/>
                </w:tcPr>
                <w:p w:rsidR="004567D3" w:rsidRPr="004567D3" w:rsidRDefault="004567D3" w:rsidP="004567D3">
                  <w:pPr>
                    <w:rPr>
                      <w:rFonts w:ascii="Times" w:hAnsi="Times"/>
                      <w:sz w:val="20"/>
                      <w:szCs w:val="20"/>
                    </w:rPr>
                  </w:pPr>
                  <w:r w:rsidRPr="004567D3">
                    <w:rPr>
                      <w:rFonts w:ascii="Verdana" w:hAnsi="Verdana"/>
                      <w:b/>
                      <w:sz w:val="20"/>
                      <w:szCs w:val="20"/>
                    </w:rPr>
                    <w:t> </w:t>
                  </w:r>
                  <w:r w:rsidRPr="004567D3">
                    <w:rPr>
                      <w:rFonts w:ascii="Arial" w:hAnsi="Arial"/>
                      <w:b/>
                      <w:sz w:val="20"/>
                      <w:szCs w:val="20"/>
                    </w:rPr>
                    <w:t>Citation</w:t>
                  </w:r>
                </w:p>
              </w:tc>
            </w:tr>
            <w:tr w:rsidR="004567D3" w:rsidRPr="004567D3" w:rsidTr="004567D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r w:rsidRPr="004567D3">
                    <w:rPr>
                      <w:rFonts w:ascii="Arial" w:hAnsi="Arial"/>
                      <w:sz w:val="20"/>
                      <w:szCs w:val="20"/>
                    </w:rPr>
                    <w:t>  </w:t>
                  </w:r>
                  <w:proofErr w:type="spellStart"/>
                  <w:r w:rsidRPr="004567D3">
                    <w:rPr>
                      <w:rFonts w:ascii="Arial" w:hAnsi="Arial"/>
                      <w:sz w:val="20"/>
                      <w:szCs w:val="20"/>
                    </w:rPr>
                    <w:t>Lockee</w:t>
                  </w:r>
                  <w:proofErr w:type="spellEnd"/>
                  <w:r w:rsidRPr="004567D3">
                    <w:rPr>
                      <w:rFonts w:ascii="Arial" w:hAnsi="Arial"/>
                      <w:sz w:val="20"/>
                      <w:szCs w:val="20"/>
                    </w:rPr>
                    <w:t>, B., Moore, M. &amp; Burton, J. (2002). Measuring success: Evaluation strategies for distance education. EDUCAUSE Quarterly, 1, 21-26.</w:t>
                  </w:r>
                </w:p>
              </w:tc>
            </w:tr>
            <w:tr w:rsidR="004567D3" w:rsidRPr="004567D3" w:rsidTr="004567D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66"/>
                  <w:vAlign w:val="center"/>
                </w:tcPr>
                <w:p w:rsidR="004567D3" w:rsidRPr="004567D3" w:rsidRDefault="004567D3" w:rsidP="004567D3">
                  <w:pPr>
                    <w:rPr>
                      <w:rFonts w:ascii="Times" w:hAnsi="Times"/>
                      <w:sz w:val="20"/>
                      <w:szCs w:val="20"/>
                    </w:rPr>
                  </w:pPr>
                  <w:r w:rsidRPr="004567D3">
                    <w:rPr>
                      <w:rFonts w:ascii="Times" w:hAnsi="Times"/>
                      <w:sz w:val="20"/>
                      <w:szCs w:val="20"/>
                    </w:rPr>
                    <w:t>Synopsis</w:t>
                  </w:r>
                </w:p>
              </w:tc>
            </w:tr>
            <w:tr w:rsidR="004567D3" w:rsidRPr="004567D3" w:rsidTr="004567D3">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hyperlink r:id="rId5" w:history="1">
                    <w:r w:rsidRPr="004567D3">
                      <w:rPr>
                        <w:rFonts w:ascii="Times" w:hAnsi="Times"/>
                        <w:color w:val="0000FF"/>
                        <w:sz w:val="20"/>
                        <w:szCs w:val="20"/>
                        <w:u w:val="single"/>
                      </w:rPr>
                      <w:t>Detail</w:t>
                    </w:r>
                  </w:hyperlink>
                </w:p>
              </w:tc>
              <w:tc>
                <w:tcPr>
                  <w:tcW w:w="11700" w:type="dxa"/>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r w:rsidRPr="004567D3">
                    <w:rPr>
                      <w:rFonts w:ascii="Times" w:hAnsi="Times"/>
                      <w:sz w:val="20"/>
                      <w:szCs w:val="20"/>
                    </w:rPr>
                    <w:t>Review of assessment strategies for distance education.</w:t>
                  </w:r>
                </w:p>
              </w:tc>
            </w:tr>
          </w:tbl>
          <w:p w:rsidR="004567D3" w:rsidRPr="004567D3" w:rsidRDefault="004567D3" w:rsidP="004567D3">
            <w:pPr>
              <w:shd w:val="clear" w:color="auto" w:fill="FFFFFF"/>
              <w:rPr>
                <w:rFonts w:ascii="Times" w:hAnsi="Times"/>
                <w:vanish/>
                <w:sz w:val="20"/>
                <w:szCs w:val="20"/>
              </w:rPr>
            </w:pPr>
          </w:p>
          <w:tbl>
            <w:tblPr>
              <w:tblW w:w="1332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372"/>
              <w:gridCol w:w="11948"/>
            </w:tblGrid>
            <w:tr w:rsidR="004567D3" w:rsidRPr="004567D3" w:rsidTr="004567D3">
              <w:trPr>
                <w:trHeight w:val="420"/>
                <w:tblCellSpacing w:w="0" w:type="dxa"/>
              </w:trPr>
              <w:tc>
                <w:tcPr>
                  <w:tcW w:w="0" w:type="auto"/>
                  <w:gridSpan w:val="2"/>
                  <w:tcBorders>
                    <w:top w:val="outset" w:sz="6" w:space="0" w:color="003333"/>
                    <w:left w:val="outset" w:sz="6" w:space="0" w:color="003333"/>
                    <w:bottom w:val="outset" w:sz="6" w:space="0" w:color="003333"/>
                    <w:right w:val="outset" w:sz="6" w:space="0" w:color="003333"/>
                  </w:tcBorders>
                  <w:shd w:val="clear" w:color="auto" w:fill="999966"/>
                  <w:vAlign w:val="center"/>
                </w:tcPr>
                <w:p w:rsidR="004567D3" w:rsidRPr="004567D3" w:rsidRDefault="004567D3" w:rsidP="004567D3">
                  <w:pPr>
                    <w:rPr>
                      <w:rFonts w:ascii="Times" w:hAnsi="Times"/>
                      <w:sz w:val="20"/>
                      <w:szCs w:val="20"/>
                    </w:rPr>
                  </w:pPr>
                  <w:r w:rsidRPr="004567D3">
                    <w:rPr>
                      <w:rFonts w:ascii="Verdana" w:hAnsi="Verdana"/>
                      <w:b/>
                      <w:sz w:val="20"/>
                      <w:szCs w:val="20"/>
                    </w:rPr>
                    <w:t> </w:t>
                  </w:r>
                  <w:r w:rsidRPr="004567D3">
                    <w:rPr>
                      <w:rFonts w:ascii="Arial" w:hAnsi="Arial"/>
                      <w:b/>
                      <w:sz w:val="20"/>
                      <w:szCs w:val="20"/>
                    </w:rPr>
                    <w:t>Citation</w:t>
                  </w:r>
                </w:p>
              </w:tc>
            </w:tr>
            <w:tr w:rsidR="004567D3" w:rsidRPr="004567D3" w:rsidTr="004567D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r w:rsidRPr="004567D3">
                    <w:rPr>
                      <w:rFonts w:ascii="Arial" w:hAnsi="Arial"/>
                      <w:sz w:val="20"/>
                      <w:szCs w:val="20"/>
                    </w:rPr>
                    <w:t>  Reeves, T. C. (2000). Alternative assessment approaches for online learning environments in higher education. Journal of Educational Computing Research, 23(1), 101-111.</w:t>
                  </w:r>
                </w:p>
              </w:tc>
            </w:tr>
            <w:tr w:rsidR="004567D3" w:rsidRPr="004567D3" w:rsidTr="004567D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66"/>
                  <w:vAlign w:val="center"/>
                </w:tcPr>
                <w:p w:rsidR="004567D3" w:rsidRPr="004567D3" w:rsidRDefault="004567D3" w:rsidP="004567D3">
                  <w:pPr>
                    <w:rPr>
                      <w:rFonts w:ascii="Times" w:hAnsi="Times"/>
                      <w:sz w:val="20"/>
                      <w:szCs w:val="20"/>
                    </w:rPr>
                  </w:pPr>
                  <w:r w:rsidRPr="004567D3">
                    <w:rPr>
                      <w:rFonts w:ascii="Times" w:hAnsi="Times"/>
                      <w:sz w:val="20"/>
                      <w:szCs w:val="20"/>
                    </w:rPr>
                    <w:t>Synopsis</w:t>
                  </w:r>
                </w:p>
              </w:tc>
            </w:tr>
            <w:tr w:rsidR="004567D3" w:rsidRPr="004567D3" w:rsidTr="004567D3">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hyperlink r:id="rId6" w:history="1">
                    <w:r w:rsidRPr="004567D3">
                      <w:rPr>
                        <w:rFonts w:ascii="Times" w:hAnsi="Times"/>
                        <w:color w:val="0000FF"/>
                        <w:sz w:val="20"/>
                        <w:szCs w:val="20"/>
                        <w:u w:val="single"/>
                      </w:rPr>
                      <w:t>Detail</w:t>
                    </w:r>
                  </w:hyperlink>
                </w:p>
              </w:tc>
              <w:tc>
                <w:tcPr>
                  <w:tcW w:w="11700" w:type="dxa"/>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r w:rsidRPr="004567D3">
                    <w:rPr>
                      <w:rFonts w:ascii="Times" w:hAnsi="Times"/>
                      <w:sz w:val="20"/>
                      <w:szCs w:val="20"/>
                    </w:rPr>
                    <w:t>The article suggests alternative approaches for assessing online education.</w:t>
                  </w:r>
                </w:p>
              </w:tc>
            </w:tr>
          </w:tbl>
          <w:p w:rsidR="004567D3" w:rsidRPr="004567D3" w:rsidRDefault="004567D3" w:rsidP="004567D3">
            <w:pPr>
              <w:shd w:val="clear" w:color="auto" w:fill="FFFFFF"/>
              <w:rPr>
                <w:rFonts w:ascii="Times" w:hAnsi="Times"/>
                <w:vanish/>
                <w:sz w:val="20"/>
                <w:szCs w:val="20"/>
              </w:rPr>
            </w:pPr>
          </w:p>
          <w:tbl>
            <w:tblPr>
              <w:tblW w:w="1332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468"/>
              <w:gridCol w:w="11852"/>
            </w:tblGrid>
            <w:tr w:rsidR="004567D3" w:rsidRPr="004567D3" w:rsidTr="004567D3">
              <w:trPr>
                <w:trHeight w:val="420"/>
                <w:tblCellSpacing w:w="0" w:type="dxa"/>
              </w:trPr>
              <w:tc>
                <w:tcPr>
                  <w:tcW w:w="0" w:type="auto"/>
                  <w:gridSpan w:val="2"/>
                  <w:tcBorders>
                    <w:top w:val="outset" w:sz="6" w:space="0" w:color="003333"/>
                    <w:left w:val="outset" w:sz="6" w:space="0" w:color="003333"/>
                    <w:bottom w:val="outset" w:sz="6" w:space="0" w:color="003333"/>
                    <w:right w:val="outset" w:sz="6" w:space="0" w:color="003333"/>
                  </w:tcBorders>
                  <w:shd w:val="clear" w:color="auto" w:fill="999966"/>
                  <w:vAlign w:val="center"/>
                </w:tcPr>
                <w:p w:rsidR="004567D3" w:rsidRPr="004567D3" w:rsidRDefault="004567D3" w:rsidP="004567D3">
                  <w:pPr>
                    <w:rPr>
                      <w:rFonts w:ascii="Times" w:hAnsi="Times"/>
                      <w:sz w:val="20"/>
                      <w:szCs w:val="20"/>
                    </w:rPr>
                  </w:pPr>
                  <w:r w:rsidRPr="004567D3">
                    <w:rPr>
                      <w:rFonts w:ascii="Verdana" w:hAnsi="Verdana"/>
                      <w:b/>
                      <w:sz w:val="20"/>
                      <w:szCs w:val="20"/>
                    </w:rPr>
                    <w:t> </w:t>
                  </w:r>
                  <w:r w:rsidRPr="004567D3">
                    <w:rPr>
                      <w:rFonts w:ascii="Arial" w:hAnsi="Arial"/>
                      <w:b/>
                      <w:sz w:val="20"/>
                      <w:szCs w:val="20"/>
                    </w:rPr>
                    <w:t>Citation</w:t>
                  </w:r>
                </w:p>
              </w:tc>
            </w:tr>
            <w:tr w:rsidR="004567D3" w:rsidRPr="004567D3" w:rsidTr="004567D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r w:rsidRPr="004567D3">
                    <w:rPr>
                      <w:rFonts w:ascii="Arial" w:hAnsi="Arial"/>
                      <w:sz w:val="20"/>
                      <w:szCs w:val="20"/>
                    </w:rPr>
                    <w:t>  </w:t>
                  </w:r>
                  <w:proofErr w:type="spellStart"/>
                  <w:r w:rsidRPr="004567D3">
                    <w:rPr>
                      <w:rFonts w:ascii="Arial" w:hAnsi="Arial"/>
                      <w:sz w:val="20"/>
                      <w:szCs w:val="20"/>
                    </w:rPr>
                    <w:t>Roblyer</w:t>
                  </w:r>
                  <w:proofErr w:type="spellEnd"/>
                  <w:r w:rsidRPr="004567D3">
                    <w:rPr>
                      <w:rFonts w:ascii="Arial" w:hAnsi="Arial"/>
                      <w:sz w:val="20"/>
                      <w:szCs w:val="20"/>
                    </w:rPr>
                    <w:t xml:space="preserve">, M.D. &amp; </w:t>
                  </w:r>
                  <w:proofErr w:type="spellStart"/>
                  <w:r w:rsidRPr="004567D3">
                    <w:rPr>
                      <w:rFonts w:ascii="Arial" w:hAnsi="Arial"/>
                      <w:sz w:val="20"/>
                      <w:szCs w:val="20"/>
                    </w:rPr>
                    <w:t>Ekhaml</w:t>
                  </w:r>
                  <w:proofErr w:type="spellEnd"/>
                  <w:r w:rsidRPr="004567D3">
                    <w:rPr>
                      <w:rFonts w:ascii="Arial" w:hAnsi="Arial"/>
                      <w:sz w:val="20"/>
                      <w:szCs w:val="20"/>
                    </w:rPr>
                    <w:t>, L. (2000). How interactive are your distance courses? A rubric for assessing interaction in distance learning. Available on-line at: http://www.westga.edu/%7Edistance/roblyer32.html</w:t>
                  </w:r>
                </w:p>
              </w:tc>
            </w:tr>
            <w:tr w:rsidR="004567D3" w:rsidRPr="004567D3" w:rsidTr="004567D3">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66"/>
                  <w:vAlign w:val="center"/>
                </w:tcPr>
                <w:p w:rsidR="004567D3" w:rsidRPr="004567D3" w:rsidRDefault="004567D3" w:rsidP="004567D3">
                  <w:pPr>
                    <w:rPr>
                      <w:rFonts w:ascii="Times" w:hAnsi="Times"/>
                      <w:sz w:val="20"/>
                      <w:szCs w:val="20"/>
                    </w:rPr>
                  </w:pPr>
                  <w:r w:rsidRPr="004567D3">
                    <w:rPr>
                      <w:rFonts w:ascii="Times" w:hAnsi="Times"/>
                      <w:sz w:val="20"/>
                      <w:szCs w:val="20"/>
                    </w:rPr>
                    <w:t>Synopsis</w:t>
                  </w:r>
                </w:p>
              </w:tc>
            </w:tr>
            <w:tr w:rsidR="004567D3" w:rsidRPr="004567D3" w:rsidTr="004567D3">
              <w:trPr>
                <w:tblCellSpacing w:w="0" w:type="dxa"/>
              </w:trPr>
              <w:tc>
                <w:tcPr>
                  <w:tcW w:w="1260" w:type="dxa"/>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hyperlink r:id="rId7" w:history="1">
                    <w:r w:rsidRPr="004567D3">
                      <w:rPr>
                        <w:rFonts w:ascii="Times" w:hAnsi="Times"/>
                        <w:color w:val="0000FF"/>
                        <w:sz w:val="20"/>
                        <w:szCs w:val="20"/>
                        <w:u w:val="single"/>
                      </w:rPr>
                      <w:t>Detail</w:t>
                    </w:r>
                  </w:hyperlink>
                </w:p>
              </w:tc>
              <w:tc>
                <w:tcPr>
                  <w:tcW w:w="11700" w:type="dxa"/>
                  <w:tcBorders>
                    <w:top w:val="outset" w:sz="6" w:space="0" w:color="auto"/>
                    <w:left w:val="outset" w:sz="6" w:space="0" w:color="auto"/>
                    <w:bottom w:val="outset" w:sz="6" w:space="0" w:color="auto"/>
                    <w:right w:val="outset" w:sz="6" w:space="0" w:color="auto"/>
                  </w:tcBorders>
                  <w:shd w:val="clear" w:color="auto" w:fill="FFFFFF"/>
                  <w:vAlign w:val="center"/>
                </w:tcPr>
                <w:p w:rsidR="004567D3" w:rsidRPr="004567D3" w:rsidRDefault="004567D3" w:rsidP="004567D3">
                  <w:pPr>
                    <w:rPr>
                      <w:rFonts w:ascii="Times" w:hAnsi="Times"/>
                      <w:sz w:val="20"/>
                      <w:szCs w:val="20"/>
                    </w:rPr>
                  </w:pPr>
                  <w:r w:rsidRPr="004567D3">
                    <w:rPr>
                      <w:rFonts w:ascii="Times" w:hAnsi="Times"/>
                      <w:sz w:val="20"/>
                      <w:szCs w:val="20"/>
                    </w:rPr>
                    <w:t>Proposes a rubric for faculty to use to determine the degree of interactivity in distance education courses. Discusses importance of faculty altering course design and teaching strategies to take advantage of technologies and assure maximum interaction.</w:t>
                  </w:r>
                </w:p>
              </w:tc>
            </w:tr>
          </w:tbl>
          <w:p w:rsidR="004567D3" w:rsidRPr="004567D3" w:rsidRDefault="004567D3" w:rsidP="004567D3">
            <w:pPr>
              <w:shd w:val="clear" w:color="auto" w:fill="FFFFFF"/>
              <w:spacing w:beforeLines="1" w:afterLines="1"/>
              <w:rPr>
                <w:rFonts w:ascii="Times" w:hAnsi="Times" w:cs="Times New Roman"/>
                <w:sz w:val="20"/>
                <w:szCs w:val="20"/>
              </w:rPr>
            </w:pPr>
            <w:r w:rsidRPr="004567D3">
              <w:rPr>
                <w:rFonts w:ascii="Times" w:hAnsi="Times" w:cs="Times New Roman"/>
                <w:sz w:val="20"/>
                <w:szCs w:val="20"/>
              </w:rPr>
              <w:t> </w:t>
            </w:r>
          </w:p>
          <w:p w:rsidR="004567D3" w:rsidRPr="004567D3" w:rsidRDefault="004567D3" w:rsidP="004567D3">
            <w:pPr>
              <w:shd w:val="clear" w:color="auto" w:fill="FFFFFF"/>
              <w:rPr>
                <w:rFonts w:ascii="Times" w:hAnsi="Times"/>
                <w:sz w:val="20"/>
                <w:szCs w:val="20"/>
              </w:rPr>
            </w:pPr>
            <w:r w:rsidRPr="004567D3">
              <w:rPr>
                <w:rFonts w:ascii="Times" w:hAnsi="Times"/>
                <w:sz w:val="20"/>
                <w:szCs w:val="20"/>
              </w:rPr>
              <w:pict>
                <v:rect id="_x0000_i1025" style="width:0;height:1.5pt" o:hralign="center" o:hrstd="t" o:hr="t" fillcolor="#aaa" stroked="f"/>
              </w:pict>
            </w:r>
          </w:p>
          <w:p w:rsidR="00000000" w:rsidRPr="004567D3" w:rsidRDefault="004567D3" w:rsidP="004567D3">
            <w:pPr>
              <w:shd w:val="clear" w:color="auto" w:fill="FFFFFF"/>
              <w:spacing w:beforeLines="1" w:afterLines="1"/>
              <w:jc w:val="center"/>
              <w:rPr>
                <w:rFonts w:ascii="Times" w:hAnsi="Times" w:cs="Times New Roman"/>
                <w:sz w:val="20"/>
                <w:szCs w:val="20"/>
              </w:rPr>
            </w:pPr>
            <w:r w:rsidRPr="004567D3">
              <w:rPr>
                <w:rFonts w:ascii="Arial" w:hAnsi="Arial" w:cs="Times New Roman"/>
                <w:sz w:val="20"/>
                <w:szCs w:val="20"/>
              </w:rPr>
              <w:t>University Planning &amp; Analysis</w:t>
            </w:r>
            <w:r w:rsidRPr="004567D3">
              <w:rPr>
                <w:rFonts w:ascii="Arial" w:hAnsi="Arial" w:cs="Times New Roman"/>
                <w:sz w:val="20"/>
                <w:szCs w:val="20"/>
              </w:rPr>
              <w:br/>
              <w:t>N.C. State University</w:t>
            </w:r>
            <w:r w:rsidRPr="004567D3">
              <w:rPr>
                <w:rFonts w:ascii="Arial" w:hAnsi="Arial" w:cs="Times New Roman"/>
                <w:sz w:val="20"/>
                <w:szCs w:val="20"/>
              </w:rPr>
              <w:br/>
              <w:t xml:space="preserve">Name: Joni </w:t>
            </w:r>
            <w:proofErr w:type="spellStart"/>
            <w:r w:rsidRPr="004567D3">
              <w:rPr>
                <w:rFonts w:ascii="Arial" w:hAnsi="Arial" w:cs="Times New Roman"/>
                <w:sz w:val="20"/>
                <w:szCs w:val="20"/>
              </w:rPr>
              <w:t>Spurlin</w:t>
            </w:r>
            <w:proofErr w:type="spellEnd"/>
            <w:r w:rsidRPr="004567D3">
              <w:rPr>
                <w:rFonts w:ascii="Arial" w:hAnsi="Arial" w:cs="Times New Roman"/>
                <w:sz w:val="20"/>
                <w:szCs w:val="20"/>
              </w:rPr>
              <w:br/>
              <w:t xml:space="preserve">Email: </w:t>
            </w:r>
            <w:hyperlink r:id="rId8" w:history="1">
              <w:r w:rsidRPr="004567D3">
                <w:rPr>
                  <w:rFonts w:ascii="Arial" w:hAnsi="Arial" w:cs="Times New Roman"/>
                  <w:color w:val="0000FF"/>
                  <w:sz w:val="20"/>
                  <w:szCs w:val="20"/>
                  <w:u w:val="single"/>
                </w:rPr>
                <w:t>Joni_Spurlin@ncsu.edu</w:t>
              </w:r>
            </w:hyperlink>
          </w:p>
        </w:tc>
      </w:tr>
    </w:tbl>
    <w:p w:rsidR="004567D3" w:rsidRPr="004567D3" w:rsidRDefault="004567D3" w:rsidP="004567D3">
      <w:pPr>
        <w:spacing w:beforeLines="1" w:afterLines="1"/>
        <w:rPr>
          <w:rFonts w:ascii="Times" w:hAnsi="Times" w:cs="Times New Roman"/>
          <w:sz w:val="20"/>
          <w:szCs w:val="20"/>
        </w:rPr>
      </w:pPr>
      <w:r w:rsidRPr="004567D3">
        <w:rPr>
          <w:rFonts w:ascii="Times" w:hAnsi="Times" w:cs="Times New Roman"/>
          <w:sz w:val="20"/>
          <w:szCs w:val="20"/>
        </w:rPr>
        <w:t> </w:t>
      </w:r>
    </w:p>
    <w:p w:rsidR="00437996" w:rsidRDefault="004567D3"/>
    <w:sectPr w:rsidR="00437996" w:rsidSect="004567D3">
      <w:pgSz w:w="15840" w:h="12240" w:orient="landscape"/>
      <w:pgMar w:top="1800" w:right="1440" w:bottom="1800" w:left="1440" w:gutter="0"/>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67D3"/>
    <w:rsid w:val="004567D3"/>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567D3"/>
    <w:pPr>
      <w:spacing w:beforeLines="1" w:afterLines="1"/>
    </w:pPr>
    <w:rPr>
      <w:rFonts w:ascii="Times" w:hAnsi="Times" w:cs="Times New Roman"/>
      <w:sz w:val="20"/>
      <w:szCs w:val="20"/>
    </w:rPr>
  </w:style>
  <w:style w:type="character" w:customStyle="1" w:styleId="style4">
    <w:name w:val="style4"/>
    <w:basedOn w:val="DefaultParagraphFont"/>
    <w:rsid w:val="004567D3"/>
  </w:style>
  <w:style w:type="character" w:styleId="Hyperlink">
    <w:name w:val="Hyperlink"/>
    <w:basedOn w:val="DefaultParagraphFont"/>
    <w:uiPriority w:val="99"/>
    <w:rsid w:val="004567D3"/>
    <w:rPr>
      <w:color w:val="0000FF"/>
      <w:u w:val="single"/>
    </w:rPr>
  </w:style>
  <w:style w:type="character" w:customStyle="1" w:styleId="style5style6">
    <w:name w:val="style5 style6"/>
    <w:basedOn w:val="DefaultParagraphFont"/>
    <w:rsid w:val="004567D3"/>
  </w:style>
</w:styles>
</file>

<file path=word/webSettings.xml><?xml version="1.0" encoding="utf-8"?>
<w:webSettings xmlns:r="http://schemas.openxmlformats.org/officeDocument/2006/relationships" xmlns:w="http://schemas.openxmlformats.org/wordprocessingml/2006/main">
  <w:divs>
    <w:div w:id="1658653871">
      <w:bodyDiv w:val="1"/>
      <w:marLeft w:val="0"/>
      <w:marRight w:val="0"/>
      <w:marTop w:val="0"/>
      <w:marBottom w:val="0"/>
      <w:divBdr>
        <w:top w:val="none" w:sz="0" w:space="0" w:color="auto"/>
        <w:left w:val="none" w:sz="0" w:space="0" w:color="auto"/>
        <w:bottom w:val="none" w:sz="0" w:space="0" w:color="auto"/>
        <w:right w:val="none" w:sz="0" w:space="0" w:color="auto"/>
      </w:divBdr>
      <w:divsChild>
        <w:div w:id="11799381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is.ncsu.edu/upa/bibliography/moredetail.asp?ID=41" TargetMode="External"/><Relationship Id="rId5" Type="http://schemas.openxmlformats.org/officeDocument/2006/relationships/hyperlink" Target="http://www.fis.ncsu.edu/upa/bibliography/moredetail.asp?ID=56" TargetMode="External"/><Relationship Id="rId6" Type="http://schemas.openxmlformats.org/officeDocument/2006/relationships/hyperlink" Target="http://www.fis.ncsu.edu/upa/bibliography/moredetail.asp?ID=14" TargetMode="External"/><Relationship Id="rId7" Type="http://schemas.openxmlformats.org/officeDocument/2006/relationships/hyperlink" Target="http://www.fis.ncsu.edu/upa/bibliography/moredetail.asp?ID=118" TargetMode="External"/><Relationship Id="rId8" Type="http://schemas.openxmlformats.org/officeDocument/2006/relationships/hyperlink" Target="mailto:joni_spurlin@ncsu.edu" TargetMode="Externa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1637</Characters>
  <Application>Microsoft Macintosh Word</Application>
  <DocSecurity>0</DocSecurity>
  <Lines>13</Lines>
  <Paragraphs>3</Paragraphs>
  <ScaleCrop>false</ScaleCrop>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Elwood</dc:creator>
  <cp:keywords/>
  <cp:lastModifiedBy>Pamela Elwood</cp:lastModifiedBy>
  <cp:revision>1</cp:revision>
  <dcterms:created xsi:type="dcterms:W3CDTF">2011-11-22T17:37:00Z</dcterms:created>
  <dcterms:modified xsi:type="dcterms:W3CDTF">2011-11-22T17:38:00Z</dcterms:modified>
</cp:coreProperties>
</file>