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1C" w:rsidRPr="0094301C" w:rsidRDefault="0094301C" w:rsidP="0094301C">
      <w:pPr>
        <w:shd w:val="clear" w:color="auto" w:fill="F5F5F5"/>
        <w:spacing w:after="144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9"/>
          <w:szCs w:val="29"/>
          <w:lang w:eastAsia="es-ES"/>
        </w:rPr>
      </w:pPr>
      <w:r>
        <w:rPr>
          <w:rFonts w:ascii="Arial" w:eastAsia="Times New Roman" w:hAnsi="Arial" w:cs="Arial"/>
          <w:b/>
          <w:bCs/>
          <w:color w:val="444444"/>
          <w:sz w:val="29"/>
          <w:szCs w:val="29"/>
          <w:lang w:eastAsia="es-ES"/>
        </w:rPr>
        <w:t>Breve descripción de un programa</w:t>
      </w:r>
      <w:bookmarkStart w:id="0" w:name="_GoBack"/>
      <w:bookmarkEnd w:id="0"/>
    </w:p>
    <w:p w:rsidR="0094301C" w:rsidRPr="0094301C" w:rsidRDefault="0094301C" w:rsidP="0094301C">
      <w:pPr>
        <w:shd w:val="clear" w:color="auto" w:fill="F5F5F5"/>
        <w:spacing w:after="150" w:line="195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94301C">
        <w:rPr>
          <w:rFonts w:ascii="Arial" w:eastAsia="Times New Roman" w:hAnsi="Arial" w:cs="Arial"/>
          <w:noProof/>
          <w:color w:val="444444"/>
          <w:sz w:val="20"/>
          <w:szCs w:val="20"/>
          <w:lang w:eastAsia="es-ES"/>
        </w:rPr>
        <w:drawing>
          <wp:inline distT="0" distB="0" distL="0" distR="0" wp14:anchorId="4CF2AD9A" wp14:editId="14FABCD2">
            <wp:extent cx="2190750" cy="1647825"/>
            <wp:effectExtent l="0" t="0" r="0" b="9525"/>
            <wp:docPr id="1" name="Imagen 1" descr="Programa Educativo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rama Educativo 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1C" w:rsidRPr="0094301C" w:rsidRDefault="0094301C" w:rsidP="0094301C">
      <w:pPr>
        <w:spacing w:after="240" w:line="384" w:lineRule="atLeast"/>
        <w:textAlignment w:val="baseline"/>
        <w:outlineLvl w:val="5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430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a la colaboración de sus socios, </w:t>
      </w:r>
      <w:proofErr w:type="spellStart"/>
      <w:r w:rsidRPr="009430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Amycos</w:t>
      </w:r>
      <w:proofErr w:type="spellEnd"/>
      <w:r w:rsidRPr="009430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mantiene este proyecto desde su fundación, en 1995. Las aportaciones particulares se reúnen en un fondo común que se destina al apoyo educativo de centenares de menores en Nicaragua.</w:t>
      </w:r>
    </w:p>
    <w:p w:rsidR="0094301C" w:rsidRPr="0094301C" w:rsidRDefault="0094301C" w:rsidP="0094301C">
      <w:pPr>
        <w:shd w:val="clear" w:color="auto" w:fill="F5F5F5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Desde su creación, </w:t>
      </w:r>
      <w:proofErr w:type="spellStart"/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Amycos</w:t>
      </w:r>
      <w:proofErr w:type="spellEnd"/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promueve el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Programa Educativo Escolar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un proyecto dirigido al apoyo de la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educación básica de niña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s y adolescentes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de varias escuelas nicaragüenses, todas ellas situadas en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Ciudad Sandino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un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municipio de 170.000 habitantes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que surgió como fruto de los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reasentamientos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tras varias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catástrofes naturales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especialmente después del huracán Mitch.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Este proyecto se sustenta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únicamente con aportaciones particulares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las cuales pasan a formar parte de un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fondo 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 el que se cubren los gastos escolares de los menores participantes en el programa.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Cada curso se financian los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uniformes, material escolar y matrículas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de más de 200 niños y niñas de entre 4 y 18 años. Este fondo es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gestionado desde Nicaragua por FUNCICO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organización encargada de hacer un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seguimiento personal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 a cada </w:t>
      </w:r>
      <w:proofErr w:type="spellStart"/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alumn</w:t>
      </w:r>
      <w:proofErr w:type="spellEnd"/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@ y a su familia, así como de elaborar un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informe anual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 que </w:t>
      </w:r>
      <w:proofErr w:type="spellStart"/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Amycos</w:t>
      </w:r>
      <w:proofErr w:type="spellEnd"/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hace llegar a los distintos colaboradores.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 xml:space="preserve">Con este programa, el primero que </w:t>
      </w:r>
      <w:proofErr w:type="spellStart"/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Amycos</w:t>
      </w:r>
      <w:proofErr w:type="spellEnd"/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puso en marcha, se mantiene la educación básica de un importante grupo de niños y niñas, aspecto fundamental para que alcancen su desarrollo personal y puedan gozar en el futuro de </w:t>
      </w:r>
      <w:r w:rsidRPr="0094301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nuevas oportunidades</w:t>
      </w:r>
      <w:r w:rsidRPr="0094301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para llevar a cabo una vida digna.</w:t>
      </w:r>
    </w:p>
    <w:p w:rsidR="00B901A3" w:rsidRDefault="0094301C"/>
    <w:sectPr w:rsidR="00B90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C"/>
    <w:rsid w:val="00884EE1"/>
    <w:rsid w:val="0094301C"/>
    <w:rsid w:val="00F1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93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Isae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infoComp05</dc:creator>
  <cp:lastModifiedBy>infoComp05</cp:lastModifiedBy>
  <cp:revision>1</cp:revision>
  <dcterms:created xsi:type="dcterms:W3CDTF">2014-05-06T23:15:00Z</dcterms:created>
  <dcterms:modified xsi:type="dcterms:W3CDTF">2014-05-06T23:17:00Z</dcterms:modified>
</cp:coreProperties>
</file>