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5C" w:rsidRDefault="007F7116">
      <w:pPr>
        <w:rPr>
          <w:rFonts w:ascii="Rockwell Extra Bold" w:hAnsi="Rockwell Extra Bold"/>
          <w:color w:val="548DD4" w:themeColor="text2" w:themeTint="99"/>
          <w:sz w:val="36"/>
          <w:szCs w:val="36"/>
          <w:u w:val="single"/>
        </w:rPr>
      </w:pPr>
      <w:r w:rsidRPr="007F7116">
        <w:rPr>
          <w:rFonts w:ascii="Rockwell Extra Bold" w:hAnsi="Rockwell Extra Bold"/>
          <w:color w:val="548DD4" w:themeColor="text2" w:themeTint="99"/>
          <w:sz w:val="36"/>
          <w:szCs w:val="36"/>
          <w:u w:val="single"/>
        </w:rPr>
        <w:t xml:space="preserve">PROXIMAL PARAVERTEBRAL NERVE BLOCK </w:t>
      </w:r>
    </w:p>
    <w:p w:rsidR="007F7116" w:rsidRPr="007F7116" w:rsidRDefault="007F7116" w:rsidP="007F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commonly used to access the abdominal cavity</w:t>
      </w:r>
    </w:p>
    <w:p w:rsidR="007F7116" w:rsidRPr="00302E5C" w:rsidRDefault="007F7116" w:rsidP="007F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actually accomplish entry into the abdominal cavity via the distal paravertebral nerve block, infiltration an</w:t>
      </w:r>
      <w:r w:rsidR="009E57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esthesia and segmental epidural an</w:t>
      </w:r>
      <w:r w:rsidR="009E57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esthesia. All provide an</w:t>
      </w:r>
      <w:r w:rsidR="009E57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esthesia of the flank region for abomasal displacement, rumenotomy, caesarean section or intestinal surgery. </w:t>
      </w:r>
    </w:p>
    <w:p w:rsidR="00302E5C" w:rsidRDefault="00302E5C" w:rsidP="00302E5C">
      <w:pPr>
        <w:pStyle w:val="ListParagraph"/>
        <w:ind w:left="76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val="en-US"/>
        </w:rPr>
        <w:drawing>
          <wp:inline distT="0" distB="0" distL="0" distR="0">
            <wp:extent cx="5124450" cy="3810000"/>
            <wp:effectExtent l="19050" t="0" r="0" b="0"/>
            <wp:docPr id="1" name="Picture 0" descr="paranerve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nervebloc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E5C" w:rsidRPr="007F7116" w:rsidRDefault="00302E5C" w:rsidP="00302E5C">
      <w:pPr>
        <w:pStyle w:val="ListParagraph"/>
        <w:ind w:left="76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7F7116" w:rsidRPr="007F7116" w:rsidRDefault="007F7116" w:rsidP="007F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method will provide excellent an</w:t>
      </w:r>
      <w:r w:rsidR="009E57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esthesia for the entire flank area via a blockade of the last thoracic (T13) and first two l</w:t>
      </w:r>
      <w:r w:rsidR="008D2F24">
        <w:rPr>
          <w:rFonts w:ascii="Times New Roman" w:hAnsi="Times New Roman" w:cs="Times New Roman"/>
          <w:sz w:val="24"/>
          <w:szCs w:val="24"/>
        </w:rPr>
        <w:t xml:space="preserve">umbar (L1 and L2) spinal nerves as they emerge from the intervertebral foramina.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116" w:rsidRPr="008D2F24" w:rsidRDefault="007F7116" w:rsidP="007F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nerves were approached via the dorsal aspect of the transverse processes of the lumbar vertebrae. </w:t>
      </w:r>
    </w:p>
    <w:p w:rsidR="008D2F24" w:rsidRPr="008D2F24" w:rsidRDefault="008D2F24" w:rsidP="007F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ends of the transverse processes are palpated. Start caudally just in front of the tuber coxa with L5 and working cranially to the L1. </w:t>
      </w:r>
    </w:p>
    <w:p w:rsidR="008D2F24" w:rsidRPr="008D2F24" w:rsidRDefault="008D2F24" w:rsidP="007F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catheter was placed as a trocar 1 to 2 cm off the dorsal midline, in line with the cranial aspect of the transverse process of L1.</w:t>
      </w:r>
    </w:p>
    <w:p w:rsidR="008D2F24" w:rsidRPr="008D2F24" w:rsidRDefault="008D2F24" w:rsidP="007F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the needle ventrally until the transverse process is encountered. You will feel something hard and the needle will be unable to penetrate.</w:t>
      </w:r>
    </w:p>
    <w:p w:rsidR="008D2F24" w:rsidRPr="008D2F24" w:rsidRDefault="008D2F24" w:rsidP="007F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Walk the needle off of the cranial edge of the process and pass it ventrally to penetrate the transverse ligament and the fascia. </w:t>
      </w:r>
    </w:p>
    <w:p w:rsidR="008D2F24" w:rsidRPr="007F7116" w:rsidRDefault="008D2F24" w:rsidP="007F7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After penetration of the fascia, the lidocaine was administered into the hub to ensure it was not sucked into a dead space, then administered. </w:t>
      </w:r>
    </w:p>
    <w:tbl>
      <w:tblPr>
        <w:tblStyle w:val="TableGrid"/>
        <w:tblW w:w="0" w:type="auto"/>
        <w:tblInd w:w="771" w:type="dxa"/>
        <w:tblLook w:val="04A0"/>
      </w:tblPr>
      <w:tblGrid>
        <w:gridCol w:w="4375"/>
        <w:gridCol w:w="4430"/>
      </w:tblGrid>
      <w:tr w:rsidR="007F7116" w:rsidTr="00302E5C">
        <w:tc>
          <w:tcPr>
            <w:tcW w:w="4375" w:type="dxa"/>
          </w:tcPr>
          <w:p w:rsidR="007F7116" w:rsidRDefault="007F7116" w:rsidP="007F7116">
            <w:pPr>
              <w:pStyle w:val="ListParagraph"/>
              <w:ind w:left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ADVANTAGES</w:t>
            </w:r>
          </w:p>
        </w:tc>
        <w:tc>
          <w:tcPr>
            <w:tcW w:w="4430" w:type="dxa"/>
          </w:tcPr>
          <w:p w:rsidR="007F7116" w:rsidRDefault="007F7116" w:rsidP="007F7116">
            <w:pPr>
              <w:pStyle w:val="ListParagraph"/>
              <w:ind w:left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DISADVANTAGES </w:t>
            </w:r>
          </w:p>
        </w:tc>
      </w:tr>
      <w:tr w:rsidR="007F7116" w:rsidTr="00302E5C">
        <w:tc>
          <w:tcPr>
            <w:tcW w:w="4375" w:type="dxa"/>
            <w:shd w:val="clear" w:color="auto" w:fill="C6D9F1" w:themeFill="text2" w:themeFillTint="33"/>
          </w:tcPr>
          <w:p w:rsidR="007F7116" w:rsidRDefault="009E57DC" w:rsidP="009E57DC">
            <w:pPr>
              <w:pStyle w:val="ListParagraph"/>
              <w:ind w:left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Minimal amount of anaesthetic required </w:t>
            </w:r>
          </w:p>
        </w:tc>
        <w:tc>
          <w:tcPr>
            <w:tcW w:w="4430" w:type="dxa"/>
            <w:shd w:val="clear" w:color="auto" w:fill="95B3D7" w:themeFill="accent1" w:themeFillTint="99"/>
          </w:tcPr>
          <w:p w:rsidR="007F7116" w:rsidRPr="009E57DC" w:rsidRDefault="009E57DC" w:rsidP="009E57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DC">
              <w:rPr>
                <w:rFonts w:ascii="Times New Roman" w:hAnsi="Times New Roman" w:cs="Times New Roman"/>
                <w:sz w:val="24"/>
                <w:szCs w:val="24"/>
              </w:rPr>
              <w:t xml:space="preserve">Difficulty in finding landmarks in fat ruminants </w:t>
            </w:r>
            <w:r w:rsidR="00302E5C">
              <w:rPr>
                <w:rFonts w:ascii="Times New Roman" w:hAnsi="Times New Roman" w:cs="Times New Roman"/>
                <w:sz w:val="24"/>
                <w:szCs w:val="24"/>
              </w:rPr>
              <w:t>and heavily muscled animals</w:t>
            </w:r>
          </w:p>
        </w:tc>
      </w:tr>
      <w:tr w:rsidR="007F7116" w:rsidTr="00302E5C">
        <w:tc>
          <w:tcPr>
            <w:tcW w:w="4375" w:type="dxa"/>
            <w:shd w:val="clear" w:color="auto" w:fill="95B3D7" w:themeFill="accent1" w:themeFillTint="99"/>
          </w:tcPr>
          <w:p w:rsidR="007F7116" w:rsidRPr="009E57DC" w:rsidRDefault="009E57DC" w:rsidP="009E57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area of desensitization</w:t>
            </w:r>
            <w:r w:rsidR="00302E5C">
              <w:rPr>
                <w:rFonts w:ascii="Times New Roman" w:hAnsi="Times New Roman" w:cs="Times New Roman"/>
                <w:sz w:val="24"/>
                <w:szCs w:val="24"/>
              </w:rPr>
              <w:t>. Wide an uniform area of analgesia and muscle relaxation</w:t>
            </w:r>
          </w:p>
        </w:tc>
        <w:tc>
          <w:tcPr>
            <w:tcW w:w="4430" w:type="dxa"/>
            <w:shd w:val="clear" w:color="auto" w:fill="C6D9F1" w:themeFill="text2" w:themeFillTint="33"/>
          </w:tcPr>
          <w:p w:rsidR="007F7116" w:rsidRPr="009E57DC" w:rsidRDefault="009E57DC" w:rsidP="009E57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DC">
              <w:rPr>
                <w:rFonts w:ascii="Times New Roman" w:hAnsi="Times New Roman" w:cs="Times New Roman"/>
                <w:sz w:val="24"/>
                <w:szCs w:val="24"/>
              </w:rPr>
              <w:t xml:space="preserve">Scoliosis </w:t>
            </w:r>
            <w:r w:rsidR="00302E5C">
              <w:rPr>
                <w:rFonts w:ascii="Times New Roman" w:hAnsi="Times New Roman" w:cs="Times New Roman"/>
                <w:sz w:val="24"/>
                <w:szCs w:val="24"/>
              </w:rPr>
              <w:t xml:space="preserve">of the spine- makes closure of incision more difficult </w:t>
            </w:r>
          </w:p>
        </w:tc>
      </w:tr>
      <w:tr w:rsidR="007F7116" w:rsidTr="00302E5C">
        <w:tc>
          <w:tcPr>
            <w:tcW w:w="4375" w:type="dxa"/>
            <w:shd w:val="clear" w:color="auto" w:fill="C6D9F1" w:themeFill="text2" w:themeFillTint="33"/>
          </w:tcPr>
          <w:p w:rsidR="007F7116" w:rsidRPr="009E57DC" w:rsidRDefault="009E57DC" w:rsidP="009E57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lidocaine in the incision site </w:t>
            </w:r>
          </w:p>
        </w:tc>
        <w:tc>
          <w:tcPr>
            <w:tcW w:w="4430" w:type="dxa"/>
            <w:shd w:val="clear" w:color="auto" w:fill="95B3D7" w:themeFill="accent1" w:themeFillTint="99"/>
          </w:tcPr>
          <w:p w:rsidR="007F7116" w:rsidRPr="009E57DC" w:rsidRDefault="009E57DC" w:rsidP="009E57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DC">
              <w:rPr>
                <w:rFonts w:ascii="Times New Roman" w:hAnsi="Times New Roman" w:cs="Times New Roman"/>
                <w:sz w:val="24"/>
                <w:szCs w:val="24"/>
              </w:rPr>
              <w:t xml:space="preserve">Moderate ataxia </w:t>
            </w:r>
          </w:p>
        </w:tc>
      </w:tr>
      <w:tr w:rsidR="007F7116" w:rsidTr="00302E5C">
        <w:tc>
          <w:tcPr>
            <w:tcW w:w="4375" w:type="dxa"/>
            <w:shd w:val="clear" w:color="auto" w:fill="95B3D7" w:themeFill="accent1" w:themeFillTint="99"/>
          </w:tcPr>
          <w:p w:rsidR="007F7116" w:rsidRPr="009E57DC" w:rsidRDefault="009E57DC" w:rsidP="009E57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DC">
              <w:rPr>
                <w:rFonts w:ascii="Times New Roman" w:hAnsi="Times New Roman" w:cs="Times New Roman"/>
                <w:sz w:val="24"/>
                <w:szCs w:val="24"/>
              </w:rPr>
              <w:t xml:space="preserve">Rapid onset of local anaesthesia </w:t>
            </w:r>
          </w:p>
        </w:tc>
        <w:tc>
          <w:tcPr>
            <w:tcW w:w="4430" w:type="dxa"/>
            <w:shd w:val="clear" w:color="auto" w:fill="C6D9F1" w:themeFill="text2" w:themeFillTint="33"/>
          </w:tcPr>
          <w:p w:rsidR="007F7116" w:rsidRPr="009E57DC" w:rsidRDefault="009E57DC" w:rsidP="009E57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DC">
              <w:rPr>
                <w:rFonts w:ascii="Times New Roman" w:hAnsi="Times New Roman" w:cs="Times New Roman"/>
                <w:sz w:val="24"/>
                <w:szCs w:val="24"/>
              </w:rPr>
              <w:t>Possibility of penetrating a major blood vessel or the spinal canal</w:t>
            </w:r>
          </w:p>
        </w:tc>
      </w:tr>
      <w:tr w:rsidR="00302E5C" w:rsidTr="00302E5C">
        <w:tc>
          <w:tcPr>
            <w:tcW w:w="4375" w:type="dxa"/>
            <w:shd w:val="clear" w:color="auto" w:fill="C6D9F1" w:themeFill="text2" w:themeFillTint="33"/>
          </w:tcPr>
          <w:p w:rsidR="00302E5C" w:rsidRPr="00302E5C" w:rsidRDefault="00302E5C" w:rsidP="00302E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5C">
              <w:rPr>
                <w:rFonts w:ascii="Times New Roman" w:hAnsi="Times New Roman" w:cs="Times New Roman"/>
                <w:sz w:val="24"/>
                <w:szCs w:val="24"/>
              </w:rPr>
              <w:t>Decreased intra-abdominal pressure</w:t>
            </w:r>
          </w:p>
        </w:tc>
        <w:tc>
          <w:tcPr>
            <w:tcW w:w="4430" w:type="dxa"/>
            <w:shd w:val="clear" w:color="auto" w:fill="95B3D7" w:themeFill="accent1" w:themeFillTint="99"/>
          </w:tcPr>
          <w:p w:rsidR="00302E5C" w:rsidRPr="00302E5C" w:rsidRDefault="00302E5C" w:rsidP="00302E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5C">
              <w:rPr>
                <w:rFonts w:ascii="Times New Roman" w:hAnsi="Times New Roman" w:cs="Times New Roman"/>
                <w:sz w:val="24"/>
                <w:szCs w:val="24"/>
              </w:rPr>
              <w:t xml:space="preserve">More skill or practice required for consistent results </w:t>
            </w:r>
          </w:p>
        </w:tc>
      </w:tr>
    </w:tbl>
    <w:p w:rsidR="007F7116" w:rsidRPr="00336DB0" w:rsidRDefault="00302E5C" w:rsidP="00302E5C">
      <w:pPr>
        <w:pStyle w:val="ListParagraph"/>
        <w:ind w:left="765"/>
        <w:rPr>
          <w:rFonts w:ascii="Times New Roman" w:hAnsi="Times New Roman" w:cs="Times New Roman"/>
          <w:i/>
          <w:sz w:val="24"/>
          <w:szCs w:val="24"/>
        </w:rPr>
      </w:pPr>
      <w:r w:rsidRPr="00336DB0">
        <w:rPr>
          <w:rFonts w:ascii="Times New Roman" w:hAnsi="Times New Roman" w:cs="Times New Roman"/>
          <w:i/>
          <w:sz w:val="24"/>
          <w:szCs w:val="24"/>
        </w:rPr>
        <w:t xml:space="preserve">Table 1: The advantages and the disadvantages for the proximal paravertebral nerve block. </w:t>
      </w:r>
    </w:p>
    <w:p w:rsidR="007F7116" w:rsidRDefault="007F7116" w:rsidP="007F7116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8D2F24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  </w:t>
      </w:r>
      <w:r w:rsidR="008D2F24" w:rsidRPr="008D2F24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How to determine success?</w:t>
      </w:r>
    </w:p>
    <w:p w:rsidR="008D2F24" w:rsidRPr="008D2F24" w:rsidRDefault="008D2F24" w:rsidP="008D2F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2F24">
        <w:rPr>
          <w:rFonts w:ascii="Times New Roman" w:hAnsi="Times New Roman" w:cs="Times New Roman"/>
          <w:sz w:val="24"/>
          <w:szCs w:val="24"/>
        </w:rPr>
        <w:t xml:space="preserve">Increased temperature of the skin. </w:t>
      </w:r>
    </w:p>
    <w:p w:rsidR="008D2F24" w:rsidRPr="008D2F24" w:rsidRDefault="008D2F24" w:rsidP="008D2F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2F24">
        <w:rPr>
          <w:rFonts w:ascii="Times New Roman" w:hAnsi="Times New Roman" w:cs="Times New Roman"/>
          <w:sz w:val="24"/>
          <w:szCs w:val="24"/>
        </w:rPr>
        <w:t xml:space="preserve">Analgesia of the skin, muscles and peritoneum of the abdominal wall of the paralumbar fossa </w:t>
      </w:r>
    </w:p>
    <w:p w:rsidR="008D2F24" w:rsidRDefault="008D2F24" w:rsidP="008D2F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2F24">
        <w:rPr>
          <w:rFonts w:ascii="Times New Roman" w:hAnsi="Times New Roman" w:cs="Times New Roman"/>
          <w:sz w:val="24"/>
          <w:szCs w:val="24"/>
        </w:rPr>
        <w:t xml:space="preserve">Scoliosis of the spine toward the desensitized side </w:t>
      </w: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8D2F24" w:rsidP="008D2F24">
      <w:pPr>
        <w:rPr>
          <w:rFonts w:ascii="Times New Roman" w:hAnsi="Times New Roman" w:cs="Times New Roman"/>
          <w:sz w:val="24"/>
          <w:szCs w:val="24"/>
        </w:rPr>
      </w:pPr>
    </w:p>
    <w:p w:rsidR="008D2F24" w:rsidRDefault="00EC62EA" w:rsidP="008D2F24">
      <w:pPr>
        <w:rPr>
          <w:rFonts w:ascii="Rockwell Extra Bold" w:hAnsi="Rockwell Extra Bold" w:cs="Times New Roman"/>
          <w:color w:val="548DD4" w:themeColor="text2" w:themeTint="99"/>
          <w:sz w:val="36"/>
          <w:szCs w:val="36"/>
          <w:u w:val="single"/>
        </w:rPr>
      </w:pPr>
      <w:r w:rsidRPr="00EC62EA">
        <w:rPr>
          <w:rFonts w:ascii="Rockwell Extra Bold" w:hAnsi="Rockwell Extra Bold" w:cs="Times New Roman"/>
          <w:color w:val="548DD4" w:themeColor="text2" w:themeTint="99"/>
          <w:sz w:val="36"/>
          <w:szCs w:val="36"/>
          <w:u w:val="single"/>
        </w:rPr>
        <w:lastRenderedPageBreak/>
        <w:t xml:space="preserve">DISTAL PARAVERTEBRAL NERVE BLOCK </w:t>
      </w:r>
    </w:p>
    <w:p w:rsidR="00EC62EA" w:rsidRDefault="00EC62EA" w:rsidP="00EC62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method de</w:t>
      </w:r>
      <w:r w:rsidRPr="00EC62EA">
        <w:rPr>
          <w:rFonts w:ascii="Times New Roman" w:hAnsi="Times New Roman" w:cs="Times New Roman"/>
          <w:sz w:val="24"/>
          <w:szCs w:val="24"/>
        </w:rPr>
        <w:t xml:space="preserve">sensitizes the dorsal and ventral rami of the spinal nerves T13, L1 and L2 at the distal ends of the transverse processes of L1 and L2 and L4, respectively. </w:t>
      </w:r>
    </w:p>
    <w:p w:rsidR="00336DB0" w:rsidRDefault="00336DB0" w:rsidP="00336DB0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972050" cy="3086100"/>
            <wp:effectExtent l="19050" t="0" r="0" b="0"/>
            <wp:docPr id="2" name="Picture 1" descr="dis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2EA" w:rsidRDefault="00EC62EA" w:rsidP="00EC62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needle is inserted ventral to the transverse process and the anaesthetic is infused in a fan-shaped pattern. </w:t>
      </w:r>
    </w:p>
    <w:p w:rsidR="00EC62EA" w:rsidRDefault="00EC62EA" w:rsidP="00EC62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needle can be removed completely to be reinserted or redirected dorsally, in a caudal direction where the local anaesthetic is again infused in a fan-shaped pattern. </w:t>
      </w:r>
    </w:p>
    <w:p w:rsidR="00336DB0" w:rsidRDefault="00EC62EA" w:rsidP="00336D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 is repeated for the transverse processes of the second and fourth lumbar vertebrae. </w:t>
      </w:r>
    </w:p>
    <w:p w:rsidR="00336DB0" w:rsidRPr="00336DB0" w:rsidRDefault="00336DB0" w:rsidP="00336DB0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65" w:type="dxa"/>
        <w:tblLook w:val="04A0"/>
      </w:tblPr>
      <w:tblGrid>
        <w:gridCol w:w="4378"/>
        <w:gridCol w:w="4433"/>
      </w:tblGrid>
      <w:tr w:rsidR="00EC62EA" w:rsidTr="00336DB0">
        <w:tc>
          <w:tcPr>
            <w:tcW w:w="4378" w:type="dxa"/>
          </w:tcPr>
          <w:p w:rsidR="00EC62EA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ADVANTAGES </w:t>
            </w:r>
          </w:p>
        </w:tc>
        <w:tc>
          <w:tcPr>
            <w:tcW w:w="4433" w:type="dxa"/>
          </w:tcPr>
          <w:p w:rsidR="00EC62EA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DISADVANTAGES </w:t>
            </w:r>
          </w:p>
        </w:tc>
      </w:tr>
      <w:tr w:rsidR="00EC62EA" w:rsidTr="00336DB0">
        <w:tc>
          <w:tcPr>
            <w:tcW w:w="4378" w:type="dxa"/>
            <w:shd w:val="clear" w:color="auto" w:fill="C6D9F1" w:themeFill="text2" w:themeFillTint="33"/>
          </w:tcPr>
          <w:p w:rsidR="00EC62EA" w:rsidRPr="00336DB0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color w:val="DBE5F1" w:themeColor="accent1" w:themeTint="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Lack of scoliosis and ataxia </w:t>
            </w:r>
          </w:p>
        </w:tc>
        <w:tc>
          <w:tcPr>
            <w:tcW w:w="4433" w:type="dxa"/>
            <w:shd w:val="clear" w:color="auto" w:fill="548DD4" w:themeFill="text2" w:themeFillTint="99"/>
          </w:tcPr>
          <w:p w:rsidR="00EC62EA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Larger doses of anaesthetic required </w:t>
            </w:r>
          </w:p>
        </w:tc>
      </w:tr>
      <w:tr w:rsidR="00EC62EA" w:rsidTr="00336DB0">
        <w:tc>
          <w:tcPr>
            <w:tcW w:w="4378" w:type="dxa"/>
            <w:shd w:val="clear" w:color="auto" w:fill="548DD4" w:themeFill="text2" w:themeFillTint="99"/>
          </w:tcPr>
          <w:p w:rsidR="00EC62EA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Easier to perform </w:t>
            </w:r>
          </w:p>
        </w:tc>
        <w:tc>
          <w:tcPr>
            <w:tcW w:w="4433" w:type="dxa"/>
            <w:shd w:val="clear" w:color="auto" w:fill="C6D9F1" w:themeFill="text2" w:themeFillTint="33"/>
          </w:tcPr>
          <w:p w:rsidR="00EC62EA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Variations in efficiency caused by variation in anatomic pathways of the nerves </w:t>
            </w:r>
          </w:p>
        </w:tc>
      </w:tr>
      <w:tr w:rsidR="00EC62EA" w:rsidTr="00336DB0">
        <w:tc>
          <w:tcPr>
            <w:tcW w:w="4378" w:type="dxa"/>
            <w:shd w:val="clear" w:color="auto" w:fill="C6D9F1" w:themeFill="text2" w:themeFillTint="33"/>
          </w:tcPr>
          <w:p w:rsidR="00EC62EA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Offers more consistent results </w:t>
            </w:r>
          </w:p>
        </w:tc>
        <w:tc>
          <w:tcPr>
            <w:tcW w:w="4433" w:type="dxa"/>
            <w:shd w:val="clear" w:color="auto" w:fill="548DD4" w:themeFill="text2" w:themeFillTint="99"/>
          </w:tcPr>
          <w:p w:rsidR="00EC62EA" w:rsidRDefault="00336DB0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Difficulty in locating the transverse processes in fat animals </w:t>
            </w:r>
          </w:p>
        </w:tc>
      </w:tr>
      <w:tr w:rsidR="00EC62EA" w:rsidTr="00336DB0">
        <w:tc>
          <w:tcPr>
            <w:tcW w:w="4378" w:type="dxa"/>
            <w:shd w:val="clear" w:color="auto" w:fill="548DD4" w:themeFill="text2" w:themeFillTint="99"/>
          </w:tcPr>
          <w:p w:rsidR="00EC62EA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Reduced risk of penetrating large blood vessels or nerves </w:t>
            </w:r>
          </w:p>
        </w:tc>
        <w:tc>
          <w:tcPr>
            <w:tcW w:w="4433" w:type="dxa"/>
            <w:shd w:val="clear" w:color="auto" w:fill="C6D9F1" w:themeFill="text2" w:themeFillTint="33"/>
          </w:tcPr>
          <w:p w:rsidR="00EC62EA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EA" w:rsidTr="00336DB0">
        <w:tc>
          <w:tcPr>
            <w:tcW w:w="4378" w:type="dxa"/>
            <w:shd w:val="clear" w:color="auto" w:fill="C6D9F1" w:themeFill="text2" w:themeFillTint="33"/>
          </w:tcPr>
          <w:p w:rsidR="00EC62EA" w:rsidRDefault="00336DB0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of common- sized needles </w:t>
            </w:r>
          </w:p>
        </w:tc>
        <w:tc>
          <w:tcPr>
            <w:tcW w:w="4433" w:type="dxa"/>
            <w:shd w:val="clear" w:color="auto" w:fill="548DD4" w:themeFill="text2" w:themeFillTint="99"/>
          </w:tcPr>
          <w:p w:rsidR="00EC62EA" w:rsidRDefault="00EC62EA" w:rsidP="00EC62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DB0" w:rsidRDefault="00336DB0" w:rsidP="008D2F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6DB0">
        <w:rPr>
          <w:rFonts w:ascii="Times New Roman" w:hAnsi="Times New Roman" w:cs="Times New Roman"/>
          <w:i/>
          <w:sz w:val="24"/>
          <w:szCs w:val="24"/>
        </w:rPr>
        <w:t xml:space="preserve">Table 2: The advantages and disadvantages of the distal to the proximal paravertebral nerve    blocks. </w:t>
      </w:r>
    </w:p>
    <w:p w:rsidR="00336DB0" w:rsidRDefault="00336DB0" w:rsidP="008D2F24">
      <w:pPr>
        <w:rPr>
          <w:rFonts w:ascii="Times New Roman" w:hAnsi="Times New Roman" w:cs="Times New Roman"/>
          <w:i/>
          <w:sz w:val="24"/>
          <w:szCs w:val="24"/>
        </w:rPr>
      </w:pPr>
    </w:p>
    <w:p w:rsidR="00336DB0" w:rsidRPr="00336DB0" w:rsidRDefault="00336DB0" w:rsidP="008D2F24">
      <w:pPr>
        <w:rPr>
          <w:rFonts w:ascii="Times New Roman" w:hAnsi="Times New Roman" w:cs="Times New Roman"/>
          <w:i/>
          <w:sz w:val="24"/>
          <w:szCs w:val="24"/>
        </w:rPr>
      </w:pPr>
    </w:p>
    <w:sectPr w:rsidR="00336DB0" w:rsidRPr="00336DB0" w:rsidSect="00BE6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38" w:rsidRDefault="00521938" w:rsidP="00336DB0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21938" w:rsidRDefault="00521938" w:rsidP="00336DB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B0" w:rsidRDefault="00336D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B0" w:rsidRDefault="00336D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B0" w:rsidRDefault="00336D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38" w:rsidRDefault="00521938" w:rsidP="00336DB0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21938" w:rsidRDefault="00521938" w:rsidP="00336DB0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B0" w:rsidRDefault="00336D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369140" o:spid="_x0000_s2050" type="#_x0000_t136" style="position:absolute;margin-left:0;margin-top:0;width:582.15pt;height:77.6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Maurice Frank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B0" w:rsidRDefault="00336D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369141" o:spid="_x0000_s2051" type="#_x0000_t136" style="position:absolute;margin-left:0;margin-top:0;width:582.15pt;height:77.6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Maurice Frank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B0" w:rsidRDefault="00336D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369139" o:spid="_x0000_s2049" type="#_x0000_t136" style="position:absolute;margin-left:0;margin-top:0;width:582.15pt;height:77.6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Maurice Frank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3B3"/>
    <w:multiLevelType w:val="hybridMultilevel"/>
    <w:tmpl w:val="12466E9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8C02E7"/>
    <w:multiLevelType w:val="hybridMultilevel"/>
    <w:tmpl w:val="F2D6AE5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C5F55F8"/>
    <w:multiLevelType w:val="hybridMultilevel"/>
    <w:tmpl w:val="46C0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7116"/>
    <w:rsid w:val="00302E5C"/>
    <w:rsid w:val="00336DB0"/>
    <w:rsid w:val="00521938"/>
    <w:rsid w:val="007F7116"/>
    <w:rsid w:val="008D2F24"/>
    <w:rsid w:val="009E57DC"/>
    <w:rsid w:val="00B51D0F"/>
    <w:rsid w:val="00BE6D45"/>
    <w:rsid w:val="00EC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4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116"/>
    <w:pPr>
      <w:ind w:left="720"/>
      <w:contextualSpacing/>
    </w:pPr>
  </w:style>
  <w:style w:type="table" w:styleId="TableGrid">
    <w:name w:val="Table Grid"/>
    <w:basedOn w:val="TableNormal"/>
    <w:uiPriority w:val="59"/>
    <w:rsid w:val="007F7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5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3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D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3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D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1</cp:revision>
  <dcterms:created xsi:type="dcterms:W3CDTF">2014-09-23T03:35:00Z</dcterms:created>
  <dcterms:modified xsi:type="dcterms:W3CDTF">2014-09-23T04:33:00Z</dcterms:modified>
</cp:coreProperties>
</file>