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72390E" w14:paraId="75D36187" w14:textId="77777777" w:rsidTr="0072390E">
        <w:tc>
          <w:tcPr>
            <w:tcW w:w="1438" w:type="dxa"/>
          </w:tcPr>
          <w:p w14:paraId="0B0952D2" w14:textId="753EFC2D" w:rsidR="0072390E" w:rsidRDefault="0072390E" w:rsidP="00B5404F">
            <w:r>
              <w:t>Drug name</w:t>
            </w:r>
          </w:p>
        </w:tc>
        <w:tc>
          <w:tcPr>
            <w:tcW w:w="1439" w:type="dxa"/>
          </w:tcPr>
          <w:p w14:paraId="7FBAE6A0" w14:textId="77777777" w:rsidR="0072390E" w:rsidRDefault="0072390E" w:rsidP="00B5404F">
            <w:r>
              <w:t>Classification</w:t>
            </w:r>
          </w:p>
        </w:tc>
        <w:tc>
          <w:tcPr>
            <w:tcW w:w="1439" w:type="dxa"/>
          </w:tcPr>
          <w:p w14:paraId="402E8C00" w14:textId="77777777" w:rsidR="0072390E" w:rsidRDefault="0072390E" w:rsidP="00B5404F">
            <w:r>
              <w:t>Trade name</w:t>
            </w:r>
          </w:p>
        </w:tc>
        <w:tc>
          <w:tcPr>
            <w:tcW w:w="1439" w:type="dxa"/>
          </w:tcPr>
          <w:p w14:paraId="54BDA9D9" w14:textId="77777777" w:rsidR="0072390E" w:rsidRDefault="0072390E" w:rsidP="00B5404F">
            <w:r>
              <w:t>Route of administration</w:t>
            </w:r>
          </w:p>
        </w:tc>
        <w:tc>
          <w:tcPr>
            <w:tcW w:w="1439" w:type="dxa"/>
          </w:tcPr>
          <w:p w14:paraId="0B29DF79" w14:textId="77777777" w:rsidR="0072390E" w:rsidRDefault="0072390E" w:rsidP="00B5404F">
            <w:r>
              <w:t>Dosage</w:t>
            </w:r>
          </w:p>
        </w:tc>
        <w:tc>
          <w:tcPr>
            <w:tcW w:w="1439" w:type="dxa"/>
          </w:tcPr>
          <w:p w14:paraId="606EDF2D" w14:textId="77777777" w:rsidR="0072390E" w:rsidRDefault="0072390E" w:rsidP="00B5404F">
            <w:r>
              <w:t>Indications</w:t>
            </w:r>
          </w:p>
        </w:tc>
        <w:tc>
          <w:tcPr>
            <w:tcW w:w="1439" w:type="dxa"/>
          </w:tcPr>
          <w:p w14:paraId="1874A05C" w14:textId="77777777" w:rsidR="0072390E" w:rsidRDefault="0072390E" w:rsidP="00B5404F">
            <w:r>
              <w:t>Contraindications</w:t>
            </w:r>
          </w:p>
        </w:tc>
        <w:tc>
          <w:tcPr>
            <w:tcW w:w="1439" w:type="dxa"/>
          </w:tcPr>
          <w:p w14:paraId="4D38A92F" w14:textId="77777777" w:rsidR="0072390E" w:rsidRDefault="0072390E" w:rsidP="00B5404F">
            <w:r>
              <w:t>Withdrawal time</w:t>
            </w:r>
          </w:p>
        </w:tc>
        <w:tc>
          <w:tcPr>
            <w:tcW w:w="1439" w:type="dxa"/>
          </w:tcPr>
          <w:p w14:paraId="11BF6005" w14:textId="77777777" w:rsidR="0072390E" w:rsidRDefault="0072390E" w:rsidP="00B5404F">
            <w:r>
              <w:t>Major drug interaction</w:t>
            </w:r>
          </w:p>
        </w:tc>
      </w:tr>
      <w:tr w:rsidR="0072390E" w14:paraId="3D7ED85A" w14:textId="77777777" w:rsidTr="00AB0744">
        <w:tc>
          <w:tcPr>
            <w:tcW w:w="12950" w:type="dxa"/>
            <w:gridSpan w:val="9"/>
          </w:tcPr>
          <w:p w14:paraId="6682A849" w14:textId="19A7B4AA" w:rsidR="0072390E" w:rsidRPr="0072390E" w:rsidRDefault="0072390E" w:rsidP="0072390E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Antinflammatory </w:t>
            </w:r>
          </w:p>
        </w:tc>
      </w:tr>
      <w:tr w:rsidR="0072390E" w:rsidRPr="0072390E" w14:paraId="0BAA3022" w14:textId="77777777" w:rsidTr="0072390E">
        <w:tc>
          <w:tcPr>
            <w:tcW w:w="1438" w:type="dxa"/>
          </w:tcPr>
          <w:p w14:paraId="4C5CC573" w14:textId="77777777" w:rsidR="0072390E" w:rsidRPr="0072390E" w:rsidRDefault="0072390E" w:rsidP="0072390E">
            <w:r w:rsidRPr="0072390E">
              <w:t>Flunixin meglumine</w:t>
            </w:r>
          </w:p>
        </w:tc>
        <w:tc>
          <w:tcPr>
            <w:tcW w:w="1439" w:type="dxa"/>
          </w:tcPr>
          <w:p w14:paraId="1E0FA3C6" w14:textId="77777777" w:rsidR="0072390E" w:rsidRPr="0072390E" w:rsidRDefault="0072390E" w:rsidP="0072390E">
            <w:r w:rsidRPr="0072390E">
              <w:t xml:space="preserve">NSAID- antipyretic, analgesic </w:t>
            </w:r>
          </w:p>
        </w:tc>
        <w:tc>
          <w:tcPr>
            <w:tcW w:w="1439" w:type="dxa"/>
          </w:tcPr>
          <w:p w14:paraId="590A91FC" w14:textId="77777777" w:rsidR="0072390E" w:rsidRPr="0072390E" w:rsidRDefault="0072390E" w:rsidP="0072390E">
            <w:r w:rsidRPr="0072390E">
              <w:t>Banamine</w:t>
            </w:r>
          </w:p>
        </w:tc>
        <w:tc>
          <w:tcPr>
            <w:tcW w:w="1439" w:type="dxa"/>
          </w:tcPr>
          <w:p w14:paraId="058F4D16" w14:textId="77777777" w:rsidR="0072390E" w:rsidRPr="0072390E" w:rsidRDefault="0072390E" w:rsidP="0072390E">
            <w:r w:rsidRPr="0072390E">
              <w:t>IV in cattle</w:t>
            </w:r>
          </w:p>
          <w:p w14:paraId="658D04FB" w14:textId="77777777" w:rsidR="0072390E" w:rsidRPr="0072390E" w:rsidRDefault="0072390E" w:rsidP="0072390E">
            <w:r w:rsidRPr="0072390E">
              <w:t>IV and IM in horses</w:t>
            </w:r>
          </w:p>
        </w:tc>
        <w:tc>
          <w:tcPr>
            <w:tcW w:w="1439" w:type="dxa"/>
          </w:tcPr>
          <w:p w14:paraId="6E04EFAA" w14:textId="77777777" w:rsidR="0072390E" w:rsidRPr="0072390E" w:rsidRDefault="0072390E" w:rsidP="0072390E">
            <w:r w:rsidRPr="0072390E">
              <w:t>1.1mg/kg</w:t>
            </w:r>
          </w:p>
        </w:tc>
        <w:tc>
          <w:tcPr>
            <w:tcW w:w="1439" w:type="dxa"/>
          </w:tcPr>
          <w:p w14:paraId="4E6B4ED5" w14:textId="77777777" w:rsidR="0072390E" w:rsidRPr="0072390E" w:rsidRDefault="0072390E" w:rsidP="0072390E">
            <w:r w:rsidRPr="0072390E">
              <w:t xml:space="preserve">For use in pyrexic animals and those in need of analgesia. </w:t>
            </w:r>
          </w:p>
          <w:p w14:paraId="05BC27CF" w14:textId="77777777" w:rsidR="0072390E" w:rsidRPr="0072390E" w:rsidRDefault="0072390E" w:rsidP="0072390E"/>
        </w:tc>
        <w:tc>
          <w:tcPr>
            <w:tcW w:w="1439" w:type="dxa"/>
          </w:tcPr>
          <w:p w14:paraId="1E4FEF4B" w14:textId="77777777" w:rsidR="0072390E" w:rsidRPr="0072390E" w:rsidRDefault="0072390E" w:rsidP="0072390E">
            <w:r w:rsidRPr="0072390E">
              <w:t xml:space="preserve">Do not use in dry cows. </w:t>
            </w:r>
          </w:p>
        </w:tc>
        <w:tc>
          <w:tcPr>
            <w:tcW w:w="1439" w:type="dxa"/>
          </w:tcPr>
          <w:p w14:paraId="7B9BC178" w14:textId="77777777" w:rsidR="0072390E" w:rsidRPr="0072390E" w:rsidRDefault="0072390E" w:rsidP="0072390E">
            <w:r w:rsidRPr="0072390E">
              <w:t xml:space="preserve">4 days for meat animals. </w:t>
            </w:r>
          </w:p>
          <w:p w14:paraId="215A25C3" w14:textId="77777777" w:rsidR="0072390E" w:rsidRPr="0072390E" w:rsidRDefault="0072390E" w:rsidP="0072390E">
            <w:r w:rsidRPr="0072390E">
              <w:t xml:space="preserve">36 hours for milk animals. </w:t>
            </w:r>
          </w:p>
        </w:tc>
        <w:tc>
          <w:tcPr>
            <w:tcW w:w="1439" w:type="dxa"/>
          </w:tcPr>
          <w:p w14:paraId="1A676569" w14:textId="77777777" w:rsidR="0072390E" w:rsidRPr="0072390E" w:rsidRDefault="0072390E" w:rsidP="0072390E"/>
        </w:tc>
      </w:tr>
      <w:tr w:rsidR="0072390E" w:rsidRPr="0072390E" w14:paraId="2E5CF1A3" w14:textId="77777777" w:rsidTr="0072390E">
        <w:tc>
          <w:tcPr>
            <w:tcW w:w="1438" w:type="dxa"/>
          </w:tcPr>
          <w:p w14:paraId="1B054AAA" w14:textId="77777777" w:rsidR="0072390E" w:rsidRPr="0072390E" w:rsidRDefault="0072390E" w:rsidP="0072390E">
            <w:r w:rsidRPr="0072390E">
              <w:t>Dexamethasone</w:t>
            </w:r>
          </w:p>
        </w:tc>
        <w:tc>
          <w:tcPr>
            <w:tcW w:w="1439" w:type="dxa"/>
          </w:tcPr>
          <w:p w14:paraId="350E2C15" w14:textId="77777777" w:rsidR="0072390E" w:rsidRPr="0072390E" w:rsidRDefault="0072390E" w:rsidP="0072390E">
            <w:r w:rsidRPr="0072390E">
              <w:t xml:space="preserve">Corticosteroids </w:t>
            </w:r>
          </w:p>
        </w:tc>
        <w:tc>
          <w:tcPr>
            <w:tcW w:w="1439" w:type="dxa"/>
          </w:tcPr>
          <w:p w14:paraId="7BBDF0AD" w14:textId="77777777" w:rsidR="0072390E" w:rsidRPr="0072390E" w:rsidRDefault="0072390E" w:rsidP="0072390E">
            <w:r w:rsidRPr="0072390E">
              <w:t>Dexakel 02</w:t>
            </w:r>
          </w:p>
        </w:tc>
        <w:tc>
          <w:tcPr>
            <w:tcW w:w="1439" w:type="dxa"/>
          </w:tcPr>
          <w:p w14:paraId="40C70EE4" w14:textId="77777777" w:rsidR="0072390E" w:rsidRPr="0072390E" w:rsidRDefault="0072390E" w:rsidP="0072390E">
            <w:r w:rsidRPr="0072390E">
              <w:t>IV, IM or SC</w:t>
            </w:r>
          </w:p>
        </w:tc>
        <w:tc>
          <w:tcPr>
            <w:tcW w:w="1439" w:type="dxa"/>
          </w:tcPr>
          <w:p w14:paraId="2F9305FD" w14:textId="77777777" w:rsidR="0072390E" w:rsidRPr="0072390E" w:rsidRDefault="0072390E" w:rsidP="0072390E">
            <w:r w:rsidRPr="0072390E">
              <w:t>0.0125mg/kg in cattle and horses.</w:t>
            </w:r>
          </w:p>
          <w:p w14:paraId="3659877D" w14:textId="77777777" w:rsidR="0072390E" w:rsidRPr="0072390E" w:rsidRDefault="0072390E" w:rsidP="0072390E">
            <w:r w:rsidRPr="0072390E">
              <w:t xml:space="preserve">5-10 ml per 400kg in cattle and horses. </w:t>
            </w:r>
          </w:p>
          <w:p w14:paraId="23AF9251" w14:textId="77777777" w:rsidR="0072390E" w:rsidRPr="0072390E" w:rsidRDefault="0072390E" w:rsidP="0072390E">
            <w:r w:rsidRPr="0072390E">
              <w:t xml:space="preserve">1-2ml per 50 kg for sheep, goats and calves. </w:t>
            </w:r>
          </w:p>
        </w:tc>
        <w:tc>
          <w:tcPr>
            <w:tcW w:w="1439" w:type="dxa"/>
          </w:tcPr>
          <w:p w14:paraId="218CE0FB" w14:textId="77777777" w:rsidR="0072390E" w:rsidRPr="0072390E" w:rsidRDefault="0072390E" w:rsidP="0072390E">
            <w:r w:rsidRPr="0072390E">
              <w:t xml:space="preserve">Metabolic disorders, non-infectious inflammatory processes, allergic conditions, stress and shock conditions. Induces parturition in pregnant animals in the last stage of pregnancy. </w:t>
            </w:r>
          </w:p>
        </w:tc>
        <w:tc>
          <w:tcPr>
            <w:tcW w:w="1439" w:type="dxa"/>
          </w:tcPr>
          <w:p w14:paraId="349FAF76" w14:textId="77777777" w:rsidR="0072390E" w:rsidRPr="0072390E" w:rsidRDefault="0072390E" w:rsidP="0072390E">
            <w:r w:rsidRPr="0072390E">
              <w:t xml:space="preserve">Animals may develop hypersensitivity to corticosteriods. </w:t>
            </w:r>
          </w:p>
        </w:tc>
        <w:tc>
          <w:tcPr>
            <w:tcW w:w="1439" w:type="dxa"/>
          </w:tcPr>
          <w:p w14:paraId="6D1B1722" w14:textId="77777777" w:rsidR="0072390E" w:rsidRPr="0072390E" w:rsidRDefault="0072390E" w:rsidP="0072390E">
            <w:r w:rsidRPr="0072390E">
              <w:t xml:space="preserve">14 days for meat animals. </w:t>
            </w:r>
          </w:p>
          <w:p w14:paraId="43536851" w14:textId="77777777" w:rsidR="0072390E" w:rsidRPr="0072390E" w:rsidRDefault="0072390E" w:rsidP="0072390E">
            <w:r w:rsidRPr="0072390E">
              <w:t xml:space="preserve">2 days for milking animals. </w:t>
            </w:r>
          </w:p>
        </w:tc>
        <w:tc>
          <w:tcPr>
            <w:tcW w:w="1439" w:type="dxa"/>
          </w:tcPr>
          <w:p w14:paraId="71D5B3BB" w14:textId="124F5A1F" w:rsidR="0072390E" w:rsidRPr="0072390E" w:rsidRDefault="0072390E" w:rsidP="0072390E">
            <w:r w:rsidRPr="0072390E">
              <w:t xml:space="preserve">Barbiturates can reduce the half-life of dexamethasone/  </w:t>
            </w:r>
          </w:p>
        </w:tc>
      </w:tr>
    </w:tbl>
    <w:p w14:paraId="0E14F480" w14:textId="51FCDA9D" w:rsidR="00292D39" w:rsidRDefault="00292D39">
      <w:bookmarkStart w:id="0" w:name="_GoBack"/>
      <w:bookmarkEnd w:id="0"/>
    </w:p>
    <w:sectPr w:rsidR="00292D39" w:rsidSect="007239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C"/>
    <w:rsid w:val="001B339C"/>
    <w:rsid w:val="00292D39"/>
    <w:rsid w:val="00473837"/>
    <w:rsid w:val="007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914"/>
  <w15:chartTrackingRefBased/>
  <w15:docId w15:val="{6FB78A29-08C4-42CA-B964-66F0E1B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Sookraj</dc:creator>
  <cp:keywords/>
  <dc:description/>
  <cp:lastModifiedBy>Alexandria Sookraj</cp:lastModifiedBy>
  <cp:revision>2</cp:revision>
  <dcterms:created xsi:type="dcterms:W3CDTF">2016-09-11T18:52:00Z</dcterms:created>
  <dcterms:modified xsi:type="dcterms:W3CDTF">2016-09-11T18:52:00Z</dcterms:modified>
</cp:coreProperties>
</file>