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782511" w:rsidTr="00782511">
        <w:tc>
          <w:tcPr>
            <w:tcW w:w="4675" w:type="dxa"/>
          </w:tcPr>
          <w:p w:rsidR="00782511" w:rsidRDefault="00782511">
            <w:r>
              <w:t>Indications</w:t>
            </w:r>
          </w:p>
        </w:tc>
        <w:tc>
          <w:tcPr>
            <w:tcW w:w="4675" w:type="dxa"/>
          </w:tcPr>
          <w:p w:rsidR="00DA4AD4" w:rsidRDefault="00DA4AD4">
            <w:r>
              <w:t>Correction of flexure limb deformities</w:t>
            </w:r>
          </w:p>
          <w:p w:rsidR="00DA4AD4" w:rsidRDefault="00DA4AD4"/>
          <w:p w:rsidR="00DA4AD4" w:rsidRDefault="00DA4AD4">
            <w:r>
              <w:t>Mild-moderate cases of distal interphalangeal flexure deformity that do not respond to conservative fracture</w:t>
            </w:r>
          </w:p>
          <w:p w:rsidR="00DA4AD4" w:rsidRDefault="00DA4AD4"/>
          <w:p w:rsidR="00DA4AD4" w:rsidRDefault="00DA4AD4">
            <w:r>
              <w:t xml:space="preserve">Severe cases of distal interphalangeal flexure deformity in combination with deep digital flexor </w:t>
            </w:r>
            <w:proofErr w:type="spellStart"/>
            <w:r>
              <w:t>tenotomy</w:t>
            </w:r>
            <w:proofErr w:type="spellEnd"/>
          </w:p>
          <w:p w:rsidR="00DA4AD4" w:rsidRDefault="00DA4AD4"/>
          <w:p w:rsidR="00DA4AD4" w:rsidRDefault="00DA4AD4">
            <w:r>
              <w:t xml:space="preserve">Severe metacarpophalangeal joint flexure deformity in combination with superior check ligament </w:t>
            </w:r>
            <w:proofErr w:type="spellStart"/>
            <w:r>
              <w:t>desmotomy</w:t>
            </w:r>
            <w:proofErr w:type="spellEnd"/>
          </w:p>
          <w:p w:rsidR="00DA4AD4" w:rsidRDefault="00DA4AD4"/>
        </w:tc>
        <w:bookmarkStart w:id="0" w:name="_GoBack"/>
        <w:bookmarkEnd w:id="0"/>
      </w:tr>
      <w:tr w:rsidR="00782511" w:rsidTr="00782511">
        <w:tc>
          <w:tcPr>
            <w:tcW w:w="4675" w:type="dxa"/>
          </w:tcPr>
          <w:p w:rsidR="00782511" w:rsidRDefault="00782511">
            <w:r>
              <w:t>Contraindications</w:t>
            </w:r>
          </w:p>
        </w:tc>
        <w:tc>
          <w:tcPr>
            <w:tcW w:w="4675" w:type="dxa"/>
          </w:tcPr>
          <w:p w:rsidR="00782511" w:rsidRDefault="002F0E23">
            <w:r>
              <w:t>In severe flexure limb deformity</w:t>
            </w:r>
          </w:p>
        </w:tc>
      </w:tr>
      <w:tr w:rsidR="00782511" w:rsidTr="00782511">
        <w:tc>
          <w:tcPr>
            <w:tcW w:w="4675" w:type="dxa"/>
          </w:tcPr>
          <w:p w:rsidR="00782511" w:rsidRDefault="00782511">
            <w:r>
              <w:t xml:space="preserve">Complications </w:t>
            </w:r>
          </w:p>
        </w:tc>
        <w:tc>
          <w:tcPr>
            <w:tcW w:w="4675" w:type="dxa"/>
          </w:tcPr>
          <w:p w:rsidR="00782511" w:rsidRDefault="002F0E23">
            <w:r>
              <w:t xml:space="preserve">Scarring at the incision site-more likely for horses more than two years </w:t>
            </w:r>
          </w:p>
          <w:p w:rsidR="002F0E23" w:rsidRDefault="002F0E23"/>
          <w:p w:rsidR="002F0E23" w:rsidRDefault="002F0E23">
            <w:r>
              <w:t>Thickening of the check ligament</w:t>
            </w:r>
          </w:p>
          <w:p w:rsidR="002F0E23" w:rsidRDefault="002F0E23"/>
          <w:p w:rsidR="002F0E23" w:rsidRDefault="002F0E23">
            <w:r>
              <w:t>Redistribution of load to the superficial flexor tendon and shifted to the deep digital flexor tendon toward the end of the stance phase.</w:t>
            </w:r>
          </w:p>
          <w:p w:rsidR="002F0E23" w:rsidRDefault="002F0E23"/>
          <w:p w:rsidR="002F0E23" w:rsidRDefault="002F0E23">
            <w:r>
              <w:t>Surgical contamination</w:t>
            </w:r>
          </w:p>
          <w:p w:rsidR="002F0E23" w:rsidRDefault="002F0E23"/>
          <w:p w:rsidR="002F0E23" w:rsidRDefault="002F0E23">
            <w:r>
              <w:t>Swelling or pressure sores at the site</w:t>
            </w:r>
          </w:p>
          <w:p w:rsidR="002F0E23" w:rsidRDefault="002F0E23"/>
          <w:p w:rsidR="002F0E23" w:rsidRDefault="002F0E23">
            <w:r>
              <w:t>Reoccurrence of deformity if corrective shoes and hoof trimming are not maintained and if exercise is not permitted (may result in healing of check ligament before proper foot alignment is achieved))</w:t>
            </w:r>
          </w:p>
        </w:tc>
      </w:tr>
      <w:tr w:rsidR="00782511" w:rsidTr="00782511">
        <w:tc>
          <w:tcPr>
            <w:tcW w:w="4675" w:type="dxa"/>
          </w:tcPr>
          <w:p w:rsidR="00782511" w:rsidRDefault="00782511">
            <w:r>
              <w:t xml:space="preserve">Anaesthesia </w:t>
            </w:r>
          </w:p>
        </w:tc>
        <w:tc>
          <w:tcPr>
            <w:tcW w:w="4675" w:type="dxa"/>
          </w:tcPr>
          <w:p w:rsidR="00782511" w:rsidRDefault="003D1A91">
            <w:r>
              <w:t xml:space="preserve">The procedure is usually done under general </w:t>
            </w:r>
            <w:r w:rsidR="00602F01">
              <w:t>anaesthesia</w:t>
            </w:r>
            <w:r w:rsidR="002F0E23">
              <w:t xml:space="preserve"> in lateral </w:t>
            </w:r>
            <w:proofErr w:type="spellStart"/>
            <w:r w:rsidR="002F0E23">
              <w:t>recumbency</w:t>
            </w:r>
            <w:proofErr w:type="spellEnd"/>
            <w:r w:rsidR="002F0E23">
              <w:t>.</w:t>
            </w:r>
          </w:p>
        </w:tc>
      </w:tr>
    </w:tbl>
    <w:p w:rsidR="00A254DE" w:rsidRDefault="00A254DE"/>
    <w:sectPr w:rsidR="00A254D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95" w:rsidRDefault="00553F95" w:rsidP="00782511">
      <w:pPr>
        <w:spacing w:after="0" w:line="240" w:lineRule="auto"/>
      </w:pPr>
      <w:r>
        <w:separator/>
      </w:r>
    </w:p>
  </w:endnote>
  <w:endnote w:type="continuationSeparator" w:id="0">
    <w:p w:rsidR="00553F95" w:rsidRDefault="00553F95" w:rsidP="0078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95" w:rsidRDefault="00553F95" w:rsidP="00782511">
      <w:pPr>
        <w:spacing w:after="0" w:line="240" w:lineRule="auto"/>
      </w:pPr>
      <w:r>
        <w:separator/>
      </w:r>
    </w:p>
  </w:footnote>
  <w:footnote w:type="continuationSeparator" w:id="0">
    <w:p w:rsidR="00553F95" w:rsidRDefault="00553F95" w:rsidP="00782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F21" w:rsidRDefault="00395F21">
    <w:pPr>
      <w:pStyle w:val="Header"/>
    </w:pPr>
    <w:r>
      <w:t xml:space="preserve">Table 1: showing information for inferior check ligament </w:t>
    </w:r>
    <w:proofErr w:type="spellStart"/>
    <w:r>
      <w:t>desmotomy</w:t>
    </w:r>
    <w:proofErr w:type="spellEnd"/>
    <w:r>
      <w:t>.</w:t>
    </w:r>
  </w:p>
  <w:p w:rsidR="00395F21" w:rsidRDefault="00395F21">
    <w:pPr>
      <w:pStyle w:val="Header"/>
    </w:pPr>
  </w:p>
  <w:p w:rsidR="00395F21" w:rsidRDefault="0039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11"/>
    <w:rsid w:val="002F0E23"/>
    <w:rsid w:val="00395F21"/>
    <w:rsid w:val="003D1A91"/>
    <w:rsid w:val="00553F95"/>
    <w:rsid w:val="00602F01"/>
    <w:rsid w:val="00782511"/>
    <w:rsid w:val="00A254DE"/>
    <w:rsid w:val="00DA4AD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E7E64-136A-4A4E-B1E4-919BF00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11"/>
  </w:style>
  <w:style w:type="paragraph" w:styleId="Footer">
    <w:name w:val="footer"/>
    <w:basedOn w:val="Normal"/>
    <w:link w:val="FooterChar"/>
    <w:uiPriority w:val="99"/>
    <w:unhideWhenUsed/>
    <w:rsid w:val="00782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obrien</dc:creator>
  <cp:keywords/>
  <dc:description/>
  <cp:lastModifiedBy>marcus obrien</cp:lastModifiedBy>
  <cp:revision>1</cp:revision>
  <dcterms:created xsi:type="dcterms:W3CDTF">2016-10-09T14:20:00Z</dcterms:created>
  <dcterms:modified xsi:type="dcterms:W3CDTF">2016-10-09T18:25:00Z</dcterms:modified>
</cp:coreProperties>
</file>