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Default="00D27F2D">
      <w:pPr>
        <w:rPr>
          <w:b/>
        </w:rPr>
      </w:pPr>
      <w:r w:rsidRPr="00D27F2D">
        <w:rPr>
          <w:b/>
        </w:rPr>
        <w:t>Splint Bone Removal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>The second and fourth met</w:t>
      </w:r>
      <w:r w:rsidRPr="00F12EAB">
        <w:rPr>
          <w:rFonts w:ascii="Minion-Regular" w:hAnsi="Minion-Regular" w:cs="Minion-Regular"/>
          <w:sz w:val="24"/>
          <w:szCs w:val="24"/>
        </w:rPr>
        <w:t xml:space="preserve">acarpal bones, or splint bones, </w:t>
      </w:r>
      <w:r w:rsidRPr="00F12EAB">
        <w:rPr>
          <w:rFonts w:ascii="Minion-Regular" w:hAnsi="Minion-Regular" w:cs="Minion-Regular"/>
          <w:sz w:val="24"/>
          <w:szCs w:val="24"/>
        </w:rPr>
        <w:t xml:space="preserve">are attached to the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abaxial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surface of the medial and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proofErr w:type="gramStart"/>
      <w:r w:rsidRPr="00F12EAB">
        <w:rPr>
          <w:rFonts w:ascii="Minion-Regular" w:hAnsi="Minion-Regular" w:cs="Minion-Regular"/>
          <w:sz w:val="24"/>
          <w:szCs w:val="24"/>
        </w:rPr>
        <w:t>lateral</w:t>
      </w:r>
      <w:proofErr w:type="gramEnd"/>
      <w:r w:rsidRPr="00F12EAB">
        <w:rPr>
          <w:rFonts w:ascii="Minion-Regular" w:hAnsi="Minion-Regular" w:cs="Minion-Regular"/>
          <w:sz w:val="24"/>
          <w:szCs w:val="24"/>
        </w:rPr>
        <w:t xml:space="preserve"> proximal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sesamoids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by fibrous bands.49 </w:t>
      </w:r>
      <w:r w:rsidRPr="00F12EAB">
        <w:rPr>
          <w:rFonts w:ascii="Minion-Regular" w:hAnsi="Minion-Regular" w:cs="Minion-Regular"/>
          <w:sz w:val="24"/>
          <w:szCs w:val="24"/>
        </w:rPr>
        <w:t xml:space="preserve">Thus, frequent </w:t>
      </w:r>
      <w:r w:rsidRPr="00F12EAB">
        <w:rPr>
          <w:rFonts w:ascii="Minion-Regular" w:hAnsi="Minion-Regular" w:cs="Minion-Regular"/>
          <w:sz w:val="24"/>
          <w:szCs w:val="24"/>
        </w:rPr>
        <w:t>hyperextension of the fet</w:t>
      </w:r>
      <w:r w:rsidRPr="00F12EAB">
        <w:rPr>
          <w:rFonts w:ascii="Minion-Regular" w:hAnsi="Minion-Regular" w:cs="Minion-Regular"/>
          <w:sz w:val="24"/>
          <w:szCs w:val="24"/>
        </w:rPr>
        <w:t xml:space="preserve">lock that results in stretching </w:t>
      </w:r>
      <w:r w:rsidRPr="00F12EAB">
        <w:rPr>
          <w:rFonts w:ascii="Minion-Regular" w:hAnsi="Minion-Regular" w:cs="Minion-Regular"/>
          <w:sz w:val="24"/>
          <w:szCs w:val="24"/>
        </w:rPr>
        <w:t>of these bands may be</w:t>
      </w:r>
      <w:r w:rsidRPr="00F12EAB">
        <w:rPr>
          <w:rFonts w:ascii="Minion-Regular" w:hAnsi="Minion-Regular" w:cs="Minion-Regular"/>
          <w:sz w:val="24"/>
          <w:szCs w:val="24"/>
        </w:rPr>
        <w:t xml:space="preserve"> a predisposing factor for </w:t>
      </w:r>
      <w:r w:rsidRPr="00F12EAB">
        <w:rPr>
          <w:rFonts w:ascii="Minion-Regular" w:hAnsi="Minion-Regular" w:cs="Minion-Regular"/>
          <w:sz w:val="24"/>
          <w:szCs w:val="24"/>
        </w:rPr>
        <w:t xml:space="preserve">fracture of the splint bones.49 </w:t>
      </w:r>
      <w:r w:rsidRPr="00F12EAB">
        <w:rPr>
          <w:rFonts w:ascii="Minion-Regular" w:hAnsi="Minion-Regular" w:cs="Minion-Regular"/>
          <w:sz w:val="24"/>
          <w:szCs w:val="24"/>
        </w:rPr>
        <w:t xml:space="preserve">Fracture generally occurs at </w:t>
      </w:r>
      <w:r w:rsidRPr="00F12EAB">
        <w:rPr>
          <w:rFonts w:ascii="Minion-Regular" w:hAnsi="Minion-Regular" w:cs="Minion-Regular"/>
          <w:sz w:val="24"/>
          <w:szCs w:val="24"/>
        </w:rPr>
        <w:t>the most distal third of the splint bone.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F12EAB">
        <w:rPr>
          <w:rFonts w:ascii="Minion-Regular" w:hAnsi="Minion-Regular" w:cs="Minion-Regular"/>
          <w:b/>
          <w:sz w:val="24"/>
          <w:szCs w:val="24"/>
        </w:rPr>
        <w:t>Indication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>I</w:t>
      </w:r>
      <w:r w:rsidRPr="00F12EAB">
        <w:rPr>
          <w:rFonts w:ascii="Minion-Regular" w:hAnsi="Minion-Regular" w:cs="Minion-Regular"/>
          <w:sz w:val="24"/>
          <w:szCs w:val="24"/>
        </w:rPr>
        <w:t>ndicated when these bones are fractured</w:t>
      </w:r>
      <w:r w:rsidRPr="00F12EAB">
        <w:rPr>
          <w:rFonts w:ascii="Minion-Regular" w:hAnsi="Minion-Regular" w:cs="Minion-Regular"/>
          <w:sz w:val="24"/>
          <w:szCs w:val="24"/>
        </w:rPr>
        <w:t xml:space="preserve">. 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F12EAB">
        <w:rPr>
          <w:rFonts w:ascii="Minion-Regular" w:hAnsi="Minion-Regular" w:cs="Minion-Regular"/>
          <w:b/>
          <w:sz w:val="24"/>
          <w:szCs w:val="24"/>
        </w:rPr>
        <w:t>Surgical Preparation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 xml:space="preserve">General anesthesia is </w:t>
      </w:r>
      <w:r w:rsidRPr="00F12EAB">
        <w:rPr>
          <w:rFonts w:ascii="Minion-Regular" w:hAnsi="Minion-Regular" w:cs="Minion-Regular"/>
          <w:sz w:val="24"/>
          <w:szCs w:val="24"/>
        </w:rPr>
        <w:t xml:space="preserve">recommended for this operation. </w:t>
      </w:r>
      <w:r w:rsidRPr="00F12EAB">
        <w:rPr>
          <w:rFonts w:ascii="Minion-Regular" w:hAnsi="Minion-Regular" w:cs="Minion-Regular"/>
          <w:sz w:val="24"/>
          <w:szCs w:val="24"/>
        </w:rPr>
        <w:t>The horse is placed in either lat</w:t>
      </w:r>
      <w:r w:rsidRPr="00F12EAB">
        <w:rPr>
          <w:rFonts w:ascii="Minion-Regular" w:hAnsi="Minion-Regular" w:cs="Minion-Regular"/>
          <w:sz w:val="24"/>
          <w:szCs w:val="24"/>
        </w:rPr>
        <w:t xml:space="preserve">eral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recumbency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with the </w:t>
      </w:r>
      <w:r w:rsidRPr="00F12EAB">
        <w:rPr>
          <w:rFonts w:ascii="Minion-Regular" w:hAnsi="Minion-Regular" w:cs="Minion-Regular"/>
          <w:sz w:val="24"/>
          <w:szCs w:val="24"/>
        </w:rPr>
        <w:t>affected splint bone</w:t>
      </w:r>
      <w:r w:rsidRPr="00F12EAB">
        <w:rPr>
          <w:rFonts w:ascii="Minion-Regular" w:hAnsi="Minion-Regular" w:cs="Minion-Regular"/>
          <w:sz w:val="24"/>
          <w:szCs w:val="24"/>
        </w:rPr>
        <w:t xml:space="preserve"> uppermost or dorsal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recumbency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>with the injured leg s</w:t>
      </w:r>
      <w:r w:rsidRPr="00F12EAB">
        <w:rPr>
          <w:rFonts w:ascii="Minion-Regular" w:hAnsi="Minion-Regular" w:cs="Minion-Regular"/>
          <w:sz w:val="24"/>
          <w:szCs w:val="24"/>
        </w:rPr>
        <w:t xml:space="preserve">uspended. The latter method has </w:t>
      </w:r>
      <w:r w:rsidRPr="00F12EAB">
        <w:rPr>
          <w:rFonts w:ascii="Minion-Regular" w:hAnsi="Minion-Regular" w:cs="Minion-Regular"/>
          <w:sz w:val="24"/>
          <w:szCs w:val="24"/>
        </w:rPr>
        <w:t>advantages when more th</w:t>
      </w:r>
      <w:r w:rsidRPr="00F12EAB">
        <w:rPr>
          <w:rFonts w:ascii="Minion-Regular" w:hAnsi="Minion-Regular" w:cs="Minion-Regular"/>
          <w:sz w:val="24"/>
          <w:szCs w:val="24"/>
        </w:rPr>
        <w:t xml:space="preserve">an one splint is to be operated </w:t>
      </w:r>
      <w:r w:rsidRPr="00F12EAB">
        <w:rPr>
          <w:rFonts w:ascii="Minion-Regular" w:hAnsi="Minion-Regular" w:cs="Minion-Regular"/>
          <w:sz w:val="24"/>
          <w:szCs w:val="24"/>
        </w:rPr>
        <w:t>on, and it achieves natural</w:t>
      </w:r>
      <w:r w:rsidRPr="00F12EAB">
        <w:rPr>
          <w:rFonts w:ascii="Minion-Regular" w:hAnsi="Minion-Regular" w:cs="Minion-Regular"/>
          <w:sz w:val="24"/>
          <w:szCs w:val="24"/>
        </w:rPr>
        <w:t xml:space="preserve"> hemostasis during the surgical </w:t>
      </w:r>
      <w:r w:rsidRPr="00F12EAB">
        <w:rPr>
          <w:rFonts w:ascii="Minion-Regular" w:hAnsi="Minion-Regular" w:cs="Minion-Regular"/>
          <w:sz w:val="24"/>
          <w:szCs w:val="24"/>
        </w:rPr>
        <w:t>procedure.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F12EAB">
        <w:rPr>
          <w:rFonts w:ascii="Minion-Regular" w:hAnsi="Minion-Regular" w:cs="Minion-Regular"/>
          <w:b/>
          <w:sz w:val="24"/>
          <w:szCs w:val="24"/>
        </w:rPr>
        <w:t>Procedure</w:t>
      </w:r>
    </w:p>
    <w:p w:rsidR="00D27F2D" w:rsidRPr="00F12EAB" w:rsidRDefault="00D27F2D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>A variable-length incision i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s made directly over the splint </w:t>
      </w:r>
      <w:r w:rsidRPr="00F12EAB">
        <w:rPr>
          <w:rFonts w:ascii="Minion-Regular" w:hAnsi="Minion-Regular" w:cs="Minion-Regular"/>
          <w:sz w:val="24"/>
          <w:szCs w:val="24"/>
        </w:rPr>
        <w:t>bone, extending from a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pproximately 1 cm distal to the </w:t>
      </w:r>
      <w:r w:rsidRPr="00F12EAB">
        <w:rPr>
          <w:rFonts w:ascii="Minion-Regular" w:hAnsi="Minion-Regular" w:cs="Minion-Regular"/>
          <w:sz w:val="24"/>
          <w:szCs w:val="24"/>
        </w:rPr>
        <w:t>distal extremity of the sp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lint bone to approximately 2 cm </w:t>
      </w:r>
      <w:r w:rsidRPr="00F12EAB">
        <w:rPr>
          <w:rFonts w:ascii="Minion-Regular" w:hAnsi="Minion-Regular" w:cs="Minion-Regular"/>
          <w:sz w:val="24"/>
          <w:szCs w:val="24"/>
        </w:rPr>
        <w:t>proximal to the proposed site of amputation</w:t>
      </w:r>
      <w:r w:rsidRPr="00F12EAB">
        <w:rPr>
          <w:rFonts w:ascii="Minion-Regular" w:hAnsi="Minion-Regular" w:cs="Minion-Regular"/>
          <w:sz w:val="24"/>
          <w:szCs w:val="24"/>
        </w:rPr>
        <w:t xml:space="preserve">. </w:t>
      </w:r>
      <w:r w:rsidRPr="00F12EAB">
        <w:rPr>
          <w:rFonts w:ascii="Minion-Regular" w:hAnsi="Minion-Regular" w:cs="Minion-Regular"/>
          <w:sz w:val="24"/>
          <w:szCs w:val="24"/>
        </w:rPr>
        <w:t xml:space="preserve">The subcutaneous fascia is incised along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the same </w:t>
      </w:r>
      <w:r w:rsidRPr="00F12EAB">
        <w:rPr>
          <w:rFonts w:ascii="Minion-Regular" w:hAnsi="Minion-Regular" w:cs="Minion-Regular"/>
          <w:sz w:val="24"/>
          <w:szCs w:val="24"/>
        </w:rPr>
        <w:t>line as the incision, through</w:t>
      </w:r>
      <w:r w:rsidR="00F12EAB">
        <w:rPr>
          <w:rFonts w:ascii="Minion-Regular" w:hAnsi="Minion-Regular" w:cs="Minion-Regular"/>
          <w:sz w:val="24"/>
          <w:szCs w:val="24"/>
        </w:rPr>
        <w:t xml:space="preserve"> the </w:t>
      </w:r>
      <w:proofErr w:type="spellStart"/>
      <w:r w:rsidR="00F12EAB">
        <w:rPr>
          <w:rFonts w:ascii="Minion-Regular" w:hAnsi="Minion-Regular" w:cs="Minion-Regular"/>
          <w:sz w:val="24"/>
          <w:szCs w:val="24"/>
        </w:rPr>
        <w:t>periosteum</w:t>
      </w:r>
      <w:proofErr w:type="spellEnd"/>
      <w:r w:rsidR="00F12EAB">
        <w:rPr>
          <w:rFonts w:ascii="Minion-Regular" w:hAnsi="Minion-Regular" w:cs="Minion-Regular"/>
          <w:sz w:val="24"/>
          <w:szCs w:val="24"/>
        </w:rPr>
        <w:t xml:space="preserve">. The </w:t>
      </w:r>
      <w:proofErr w:type="spellStart"/>
      <w:r w:rsidR="00F12EAB">
        <w:rPr>
          <w:rFonts w:ascii="Minion-Regular" w:hAnsi="Minion-Regular" w:cs="Minion-Regular"/>
          <w:sz w:val="24"/>
          <w:szCs w:val="24"/>
        </w:rPr>
        <w:t>periosteum</w:t>
      </w:r>
      <w:proofErr w:type="spellEnd"/>
      <w:r w:rsid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>is elevated off the af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fected part of the splint bone. </w:t>
      </w:r>
      <w:r w:rsidRPr="00F12EAB">
        <w:rPr>
          <w:rFonts w:ascii="Minion-Regular" w:hAnsi="Minion-Regular" w:cs="Minion-Regular"/>
          <w:sz w:val="24"/>
          <w:szCs w:val="24"/>
        </w:rPr>
        <w:t>The distal end of the splint bone is undermined with the</w:t>
      </w:r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>aid of sharp dissectio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n and is freed from surrounding </w:t>
      </w:r>
      <w:r w:rsidRPr="00F12EAB">
        <w:rPr>
          <w:rFonts w:ascii="Minion-Regular" w:hAnsi="Minion-Regular" w:cs="Minion-Regular"/>
          <w:sz w:val="24"/>
          <w:szCs w:val="24"/>
        </w:rPr>
        <w:t>fascia</w:t>
      </w:r>
      <w:r w:rsidRPr="00F12EAB">
        <w:rPr>
          <w:rFonts w:ascii="Minion-Regular" w:hAnsi="Minion-Regular" w:cs="Minion-Regular"/>
          <w:sz w:val="24"/>
          <w:szCs w:val="24"/>
        </w:rPr>
        <w:t>. Then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the end is grasped firmly with </w:t>
      </w:r>
      <w:r w:rsidRPr="00F12EAB">
        <w:rPr>
          <w:rFonts w:ascii="Minion-Regular" w:hAnsi="Minion-Regular" w:cs="Minion-Regular"/>
          <w:sz w:val="24"/>
          <w:szCs w:val="24"/>
        </w:rPr>
        <w:t>forceps</w:t>
      </w:r>
      <w:r w:rsidRPr="00F12EAB">
        <w:rPr>
          <w:rFonts w:ascii="Minion-Regular" w:hAnsi="Minion-Regular" w:cs="Minion-Regular"/>
          <w:sz w:val="24"/>
          <w:szCs w:val="24"/>
        </w:rPr>
        <w:t>.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With further sharp dissection, </w:t>
      </w:r>
      <w:r w:rsidRPr="00F12EAB">
        <w:rPr>
          <w:rFonts w:ascii="Minion-Regular" w:hAnsi="Minion-Regular" w:cs="Minion-Regular"/>
          <w:sz w:val="24"/>
          <w:szCs w:val="24"/>
        </w:rPr>
        <w:t>the splint bone is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separated from its attachments </w:t>
      </w:r>
      <w:r w:rsidRPr="00F12EAB">
        <w:rPr>
          <w:rFonts w:ascii="Minion-Regular" w:hAnsi="Minion-Regular" w:cs="Minion-Regular"/>
          <w:sz w:val="24"/>
          <w:szCs w:val="24"/>
        </w:rPr>
        <w:t xml:space="preserve">to the third metacarpal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or metatarsal </w:t>
      </w:r>
      <w:r w:rsidR="00F12EAB" w:rsidRPr="00F12EAB">
        <w:rPr>
          <w:rFonts w:ascii="Minion-Regular" w:hAnsi="Minion-Regular" w:cs="Minion-Regular"/>
          <w:sz w:val="24"/>
          <w:szCs w:val="24"/>
        </w:rPr>
        <w:lastRenderedPageBreak/>
        <w:t xml:space="preserve">bone. Some of the </w:t>
      </w:r>
      <w:r w:rsidRPr="00F12EAB">
        <w:rPr>
          <w:rFonts w:ascii="Minion-Regular" w:hAnsi="Minion-Regular" w:cs="Minion-Regular"/>
          <w:sz w:val="24"/>
          <w:szCs w:val="24"/>
        </w:rPr>
        <w:t>attachments to the third metacarpal or metatarsal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bone </w:t>
      </w:r>
      <w:r w:rsidRPr="00F12EAB">
        <w:rPr>
          <w:rFonts w:ascii="Minion-Regular" w:hAnsi="Minion-Regular" w:cs="Minion-Regular"/>
          <w:sz w:val="24"/>
          <w:szCs w:val="24"/>
        </w:rPr>
        <w:t>may need to be severed with the aid of a chisel</w:t>
      </w:r>
      <w:r w:rsidRPr="00F12EAB">
        <w:rPr>
          <w:rFonts w:ascii="Minion-Regular" w:hAnsi="Minion-Regular" w:cs="Minion-Regular"/>
          <w:sz w:val="24"/>
          <w:szCs w:val="24"/>
        </w:rPr>
        <w:t xml:space="preserve">. </w:t>
      </w:r>
      <w:r w:rsidRPr="00F12EAB">
        <w:rPr>
          <w:rFonts w:ascii="Minion-Regular" w:hAnsi="Minion-Regular" w:cs="Minion-Regular"/>
          <w:sz w:val="24"/>
          <w:szCs w:val="24"/>
        </w:rPr>
        <w:t xml:space="preserve">The splint bone should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be amputated above the fracture </w:t>
      </w:r>
      <w:r w:rsidRPr="00F12EAB">
        <w:rPr>
          <w:rFonts w:ascii="Minion-Regular" w:hAnsi="Minion-Regular" w:cs="Minion-Regular"/>
          <w:sz w:val="24"/>
          <w:szCs w:val="24"/>
        </w:rPr>
        <w:t>site or the area of infection</w:t>
      </w:r>
      <w:r w:rsidRPr="00F12EAB">
        <w:rPr>
          <w:rFonts w:ascii="Minion-Regular" w:hAnsi="Minion-Regular" w:cs="Minion-Regular"/>
          <w:sz w:val="24"/>
          <w:szCs w:val="24"/>
        </w:rPr>
        <w:t xml:space="preserve">. </w:t>
      </w:r>
      <w:r w:rsidRPr="00F12EAB">
        <w:rPr>
          <w:rFonts w:ascii="Minion-Regular" w:hAnsi="Minion-Regular" w:cs="Minion-Regular"/>
          <w:sz w:val="24"/>
          <w:szCs w:val="24"/>
        </w:rPr>
        <w:t>The proximal end of the splint bone should</w:t>
      </w:r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 xml:space="preserve">be tapered to avoid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leaving a sharp edge </w:t>
      </w:r>
      <w:r w:rsidRPr="00F12EAB">
        <w:rPr>
          <w:rFonts w:ascii="Minion-Regular" w:hAnsi="Minion-Regular" w:cs="Minion-Regular"/>
          <w:sz w:val="24"/>
          <w:szCs w:val="24"/>
        </w:rPr>
        <w:t>and any loose fragment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s removed or flushed out of the </w:t>
      </w:r>
      <w:r w:rsidRPr="00F12EAB">
        <w:rPr>
          <w:rFonts w:ascii="Minion-Regular" w:hAnsi="Minion-Regular" w:cs="Minion-Regular"/>
          <w:sz w:val="24"/>
          <w:szCs w:val="24"/>
        </w:rPr>
        <w:t xml:space="preserve">surgical site. The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perioste</w:t>
      </w:r>
      <w:r w:rsidR="00F12EAB" w:rsidRPr="00F12EAB">
        <w:rPr>
          <w:rFonts w:ascii="Minion-Regular" w:hAnsi="Minion-Regular" w:cs="Minion-Regular"/>
          <w:sz w:val="24"/>
          <w:szCs w:val="24"/>
        </w:rPr>
        <w:t>um</w:t>
      </w:r>
      <w:proofErr w:type="spellEnd"/>
      <w:r w:rsidR="00F12EAB" w:rsidRPr="00F12EAB">
        <w:rPr>
          <w:rFonts w:ascii="Minion-Regular" w:hAnsi="Minion-Regular" w:cs="Minion-Regular"/>
          <w:sz w:val="24"/>
          <w:szCs w:val="24"/>
        </w:rPr>
        <w:t xml:space="preserve"> should be sharply excised to </w:t>
      </w:r>
      <w:r w:rsidRPr="00F12EAB">
        <w:rPr>
          <w:rFonts w:ascii="Minion-Regular" w:hAnsi="Minion-Regular" w:cs="Minion-Regular"/>
          <w:sz w:val="24"/>
          <w:szCs w:val="24"/>
        </w:rPr>
        <w:t>reduce the chances of periost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eal proliferation. If infection </w:t>
      </w:r>
      <w:r w:rsidRPr="00F12EAB">
        <w:rPr>
          <w:rFonts w:ascii="Minion-Regular" w:hAnsi="Minion-Regular" w:cs="Minion-Regular"/>
          <w:sz w:val="24"/>
          <w:szCs w:val="24"/>
        </w:rPr>
        <w:t>is present, unhealthy s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car tissue must be excised with </w:t>
      </w:r>
      <w:r w:rsidRPr="00F12EAB">
        <w:rPr>
          <w:rFonts w:ascii="Minion-Regular" w:hAnsi="Minion-Regular" w:cs="Minion-Regular"/>
          <w:sz w:val="24"/>
          <w:szCs w:val="24"/>
        </w:rPr>
        <w:t xml:space="preserve">sharp dissection, and all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sequestra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removed. Any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bleeding </w:t>
      </w:r>
      <w:r w:rsidRPr="00F12EAB">
        <w:rPr>
          <w:rFonts w:ascii="Minion-Regular" w:hAnsi="Minion-Regular" w:cs="Minion-Regular"/>
          <w:sz w:val="24"/>
          <w:szCs w:val="24"/>
        </w:rPr>
        <w:t>should be controlled at this time.</w:t>
      </w:r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>Following removal of th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e splint bone, the subcutaneous </w:t>
      </w:r>
      <w:r w:rsidRPr="00F12EAB">
        <w:rPr>
          <w:rFonts w:ascii="Minion-Regular" w:hAnsi="Minion-Regular" w:cs="Minion-Regular"/>
          <w:sz w:val="24"/>
          <w:szCs w:val="24"/>
        </w:rPr>
        <w:t>tissue should be closed with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a synthetic absorbable suture. </w:t>
      </w:r>
      <w:r w:rsidRPr="00F12EAB">
        <w:rPr>
          <w:rFonts w:ascii="Minion-Regular" w:hAnsi="Minion-Regular" w:cs="Minion-Regular"/>
          <w:sz w:val="24"/>
          <w:szCs w:val="24"/>
        </w:rPr>
        <w:t>Considerable dead space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may result from removal of the </w:t>
      </w:r>
      <w:r w:rsidRPr="00F12EAB">
        <w:rPr>
          <w:rFonts w:ascii="Minion-Regular" w:hAnsi="Minion-Regular" w:cs="Minion-Regular"/>
          <w:sz w:val="24"/>
          <w:szCs w:val="24"/>
        </w:rPr>
        <w:t xml:space="preserve">bone, especially if much bony and fibrous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tissue reaction </w:t>
      </w:r>
      <w:r w:rsidRPr="00F12EAB">
        <w:rPr>
          <w:rFonts w:ascii="Minion-Regular" w:hAnsi="Minion-Regular" w:cs="Minion-Regular"/>
          <w:sz w:val="24"/>
          <w:szCs w:val="24"/>
        </w:rPr>
        <w:t>was present.</w:t>
      </w:r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A good pressure </w:t>
      </w:r>
      <w:r w:rsidRPr="00F12EAB">
        <w:rPr>
          <w:rFonts w:ascii="Minion-Regular" w:hAnsi="Minion-Regular" w:cs="Minion-Regular"/>
          <w:sz w:val="24"/>
          <w:szCs w:val="24"/>
        </w:rPr>
        <w:t>bandage is often adequat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e to reduce dead space. Only in </w:t>
      </w:r>
      <w:r w:rsidRPr="00F12EAB">
        <w:rPr>
          <w:rFonts w:ascii="Minion-Regular" w:hAnsi="Minion-Regular" w:cs="Minion-Regular"/>
          <w:sz w:val="24"/>
          <w:szCs w:val="24"/>
        </w:rPr>
        <w:t>rare instances is an ingress-egres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s system of flushing indicated. </w:t>
      </w:r>
      <w:r w:rsidRPr="00F12EAB">
        <w:rPr>
          <w:rFonts w:ascii="Minion-Regular" w:hAnsi="Minion-Regular" w:cs="Minion-Regular"/>
          <w:sz w:val="24"/>
          <w:szCs w:val="24"/>
        </w:rPr>
        <w:t>The skin shoul</w:t>
      </w:r>
      <w:r w:rsidR="00F12EAB">
        <w:rPr>
          <w:rFonts w:ascii="Minion-Regular" w:hAnsi="Minion-Regular" w:cs="Minion-Regular"/>
          <w:sz w:val="24"/>
          <w:szCs w:val="24"/>
        </w:rPr>
        <w:t xml:space="preserve">d be closed with a monofilament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nonabsorbable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suture usin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g a simple interrupted pattern. </w:t>
      </w:r>
      <w:r w:rsidRPr="00F12EAB">
        <w:rPr>
          <w:rFonts w:ascii="Minion-Regular" w:hAnsi="Minion-Regular" w:cs="Minion-Regular"/>
          <w:sz w:val="24"/>
          <w:szCs w:val="24"/>
        </w:rPr>
        <w:t>The incision is covered</w:t>
      </w:r>
      <w:r w:rsidR="00F12EAB" w:rsidRPr="00F12EAB">
        <w:rPr>
          <w:rFonts w:ascii="Minion-Regular" w:hAnsi="Minion-Regular" w:cs="Minion-Regular"/>
          <w:sz w:val="24"/>
          <w:szCs w:val="24"/>
        </w:rPr>
        <w:t xml:space="preserve"> with an antimicrobial dressing </w:t>
      </w:r>
      <w:r w:rsidRPr="00F12EAB">
        <w:rPr>
          <w:rFonts w:ascii="Minion-Regular" w:hAnsi="Minion-Regular" w:cs="Minion-Regular"/>
          <w:sz w:val="24"/>
          <w:szCs w:val="24"/>
        </w:rPr>
        <w:t>and is placed under a pressure bandage.</w:t>
      </w: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F12EAB">
        <w:rPr>
          <w:rFonts w:ascii="Minion-Regular" w:hAnsi="Minion-Regular" w:cs="Minion-Regular"/>
          <w:b/>
          <w:sz w:val="24"/>
          <w:szCs w:val="24"/>
        </w:rPr>
        <w:t>Post Op</w:t>
      </w: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>Tetanus prophylaxis is adm</w:t>
      </w:r>
      <w:r w:rsidRPr="00F12EAB">
        <w:rPr>
          <w:rFonts w:ascii="Minion-Regular" w:hAnsi="Minion-Regular" w:cs="Minion-Regular"/>
          <w:sz w:val="24"/>
          <w:szCs w:val="24"/>
        </w:rPr>
        <w:t xml:space="preserve">inistered. Antibiotics are used </w:t>
      </w:r>
      <w:r w:rsidRPr="00F12EAB">
        <w:rPr>
          <w:rFonts w:ascii="Minion-Regular" w:hAnsi="Minion-Regular" w:cs="Minion-Regular"/>
          <w:sz w:val="24"/>
          <w:szCs w:val="24"/>
        </w:rPr>
        <w:t xml:space="preserve">in cases of acute (active)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osteitis</w:t>
      </w:r>
      <w:proofErr w:type="spellEnd"/>
      <w:r w:rsidRPr="00F12EAB">
        <w:rPr>
          <w:rFonts w:ascii="Minion-Regular" w:hAnsi="Minion-Regular" w:cs="Minion-Regular"/>
          <w:sz w:val="24"/>
          <w:szCs w:val="24"/>
        </w:rPr>
        <w:t xml:space="preserve"> or osteomye</w:t>
      </w:r>
      <w:r w:rsidRPr="00F12EAB">
        <w:rPr>
          <w:rFonts w:ascii="Minion-Regular" w:hAnsi="Minion-Regular" w:cs="Minion-Regular"/>
          <w:sz w:val="24"/>
          <w:szCs w:val="24"/>
        </w:rPr>
        <w:t xml:space="preserve">litis, although </w:t>
      </w:r>
      <w:r w:rsidRPr="00F12EAB">
        <w:rPr>
          <w:rFonts w:ascii="Minion-Regular" w:hAnsi="Minion-Regular" w:cs="Minion-Regular"/>
          <w:sz w:val="24"/>
          <w:szCs w:val="24"/>
        </w:rPr>
        <w:t>with appropriate pr</w:t>
      </w:r>
      <w:r w:rsidRPr="00F12EAB">
        <w:rPr>
          <w:rFonts w:ascii="Minion-Regular" w:hAnsi="Minion-Regular" w:cs="Minion-Regular"/>
          <w:sz w:val="24"/>
          <w:szCs w:val="24"/>
        </w:rPr>
        <w:t xml:space="preserve">eoperative wound management and </w:t>
      </w:r>
      <w:r w:rsidRPr="00F12EAB">
        <w:rPr>
          <w:rFonts w:ascii="Minion-Regular" w:hAnsi="Minion-Regular" w:cs="Minion-Regular"/>
          <w:sz w:val="24"/>
          <w:szCs w:val="24"/>
        </w:rPr>
        <w:t>thorough wound deb</w:t>
      </w:r>
      <w:r w:rsidRPr="00F12EAB">
        <w:rPr>
          <w:rFonts w:ascii="Minion-Regular" w:hAnsi="Minion-Regular" w:cs="Minion-Regular"/>
          <w:sz w:val="24"/>
          <w:szCs w:val="24"/>
        </w:rPr>
        <w:t xml:space="preserve">ridement, the infection usually </w:t>
      </w:r>
      <w:r w:rsidRPr="00F12EAB">
        <w:rPr>
          <w:rFonts w:ascii="Minion-Regular" w:hAnsi="Minion-Regular" w:cs="Minion-Regular"/>
          <w:sz w:val="24"/>
          <w:szCs w:val="24"/>
        </w:rPr>
        <w:t>resolves without the need</w:t>
      </w:r>
      <w:r w:rsidRPr="00F12EAB">
        <w:rPr>
          <w:rFonts w:ascii="Minion-Regular" w:hAnsi="Minion-Regular" w:cs="Minion-Regular"/>
          <w:sz w:val="24"/>
          <w:szCs w:val="24"/>
        </w:rPr>
        <w:t xml:space="preserve"> for preoperative antimicrobial </w:t>
      </w:r>
      <w:r w:rsidRPr="00F12EAB">
        <w:rPr>
          <w:rFonts w:ascii="Minion-Regular" w:hAnsi="Minion-Regular" w:cs="Minion-Regular"/>
          <w:sz w:val="24"/>
          <w:szCs w:val="24"/>
        </w:rPr>
        <w:t>therapy.</w:t>
      </w:r>
      <w:r w:rsidRPr="00F12EAB">
        <w:rPr>
          <w:rFonts w:ascii="Minion-Regular" w:hAnsi="Minion-Regular" w:cs="Minion-Regular"/>
          <w:sz w:val="24"/>
          <w:szCs w:val="24"/>
        </w:rPr>
        <w:t xml:space="preserve"> </w:t>
      </w:r>
      <w:r w:rsidRPr="00F12EAB">
        <w:rPr>
          <w:rFonts w:ascii="Minion-Regular" w:hAnsi="Minion-Regular" w:cs="Minion-Regular"/>
          <w:sz w:val="24"/>
          <w:szCs w:val="24"/>
        </w:rPr>
        <w:t xml:space="preserve">The limb </w:t>
      </w:r>
      <w:r w:rsidRPr="00F12EAB">
        <w:rPr>
          <w:rFonts w:ascii="Minion-Regular" w:hAnsi="Minion-Regular" w:cs="Minion-Regular"/>
          <w:sz w:val="24"/>
          <w:szCs w:val="24"/>
        </w:rPr>
        <w:t xml:space="preserve">should be kept under a pressure </w:t>
      </w:r>
      <w:r w:rsidRPr="00F12EAB">
        <w:rPr>
          <w:rFonts w:ascii="Minion-Regular" w:hAnsi="Minion-Regular" w:cs="Minion-Regular"/>
          <w:sz w:val="24"/>
          <w:szCs w:val="24"/>
        </w:rPr>
        <w:t>bandage for 3–4 weeks.</w:t>
      </w:r>
      <w:r w:rsidRPr="00F12EAB">
        <w:rPr>
          <w:rFonts w:ascii="Minion-Regular" w:hAnsi="Minion-Regular" w:cs="Minion-Regular"/>
          <w:sz w:val="24"/>
          <w:szCs w:val="24"/>
        </w:rPr>
        <w:t xml:space="preserve"> C</w:t>
      </w:r>
      <w:r w:rsidRPr="00F12EAB">
        <w:rPr>
          <w:rFonts w:ascii="Minion-Regular" w:hAnsi="Minion-Regular" w:cs="Minion-Regular"/>
          <w:sz w:val="24"/>
          <w:szCs w:val="24"/>
        </w:rPr>
        <w:t>hange t</w:t>
      </w:r>
      <w:r w:rsidRPr="00F12EAB">
        <w:rPr>
          <w:rFonts w:ascii="Minion-Regular" w:hAnsi="Minion-Regular" w:cs="Minion-Regular"/>
          <w:sz w:val="24"/>
          <w:szCs w:val="24"/>
        </w:rPr>
        <w:t xml:space="preserve">he bandage in </w:t>
      </w:r>
      <w:r w:rsidRPr="00F12EAB">
        <w:rPr>
          <w:rFonts w:ascii="Minion-Regular" w:hAnsi="Minion-Regular" w:cs="Minion-Regular"/>
          <w:sz w:val="24"/>
          <w:szCs w:val="24"/>
        </w:rPr>
        <w:t>the first 1–2 days postoperati</w:t>
      </w:r>
      <w:r w:rsidRPr="00F12EAB">
        <w:rPr>
          <w:rFonts w:ascii="Minion-Regular" w:hAnsi="Minion-Regular" w:cs="Minion-Regular"/>
          <w:sz w:val="24"/>
          <w:szCs w:val="24"/>
        </w:rPr>
        <w:t xml:space="preserve">vely. After that time, pressure </w:t>
      </w:r>
      <w:r w:rsidRPr="00F12EAB">
        <w:rPr>
          <w:rFonts w:ascii="Minion-Regular" w:hAnsi="Minion-Regular" w:cs="Minion-Regular"/>
          <w:sz w:val="24"/>
          <w:szCs w:val="24"/>
        </w:rPr>
        <w:t>bandages are changed every 5–</w:t>
      </w:r>
      <w:r w:rsidRPr="00F12EAB">
        <w:rPr>
          <w:rFonts w:ascii="Minion-Regular" w:hAnsi="Minion-Regular" w:cs="Minion-Regular"/>
          <w:sz w:val="24"/>
          <w:szCs w:val="24"/>
        </w:rPr>
        <w:t xml:space="preserve">7 </w:t>
      </w:r>
      <w:proofErr w:type="gramStart"/>
      <w:r w:rsidRPr="00F12EAB">
        <w:rPr>
          <w:rFonts w:ascii="Minion-Regular" w:hAnsi="Minion-Regular" w:cs="Minion-Regular"/>
          <w:sz w:val="24"/>
          <w:szCs w:val="24"/>
        </w:rPr>
        <w:t>days,</w:t>
      </w:r>
      <w:proofErr w:type="gramEnd"/>
      <w:r w:rsidRPr="00F12EAB">
        <w:rPr>
          <w:rFonts w:ascii="Minion-Regular" w:hAnsi="Minion-Regular" w:cs="Minion-Regular"/>
          <w:sz w:val="24"/>
          <w:szCs w:val="24"/>
        </w:rPr>
        <w:t xml:space="preserve"> or sooner if needed. </w:t>
      </w:r>
      <w:r w:rsidRPr="00F12EAB">
        <w:rPr>
          <w:rFonts w:ascii="Minion-Regular" w:hAnsi="Minion-Regular" w:cs="Minion-Regular"/>
          <w:sz w:val="24"/>
          <w:szCs w:val="24"/>
        </w:rPr>
        <w:t>If drains are in place, t</w:t>
      </w:r>
      <w:r w:rsidRPr="00F12EAB">
        <w:rPr>
          <w:rFonts w:ascii="Minion-Regular" w:hAnsi="Minion-Regular" w:cs="Minion-Regular"/>
          <w:sz w:val="24"/>
          <w:szCs w:val="24"/>
        </w:rPr>
        <w:t xml:space="preserve">hey should generally be removed </w:t>
      </w:r>
      <w:r w:rsidRPr="00F12EAB">
        <w:rPr>
          <w:rFonts w:ascii="Minion-Regular" w:hAnsi="Minion-Regular" w:cs="Minion-Regular"/>
          <w:sz w:val="24"/>
          <w:szCs w:val="24"/>
        </w:rPr>
        <w:t>the second or third postope</w:t>
      </w:r>
      <w:r w:rsidRPr="00F12EAB">
        <w:rPr>
          <w:rFonts w:ascii="Minion-Regular" w:hAnsi="Minion-Regular" w:cs="Minion-Regular"/>
          <w:sz w:val="24"/>
          <w:szCs w:val="24"/>
        </w:rPr>
        <w:t xml:space="preserve">rative day. Skin sutures should </w:t>
      </w:r>
      <w:r w:rsidRPr="00F12EAB">
        <w:rPr>
          <w:rFonts w:ascii="Minion-Regular" w:hAnsi="Minion-Regular" w:cs="Minion-Regular"/>
          <w:sz w:val="24"/>
          <w:szCs w:val="24"/>
        </w:rPr>
        <w:t>be removed 10–14 days after surgery.</w:t>
      </w: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r w:rsidRPr="00F12EAB">
        <w:rPr>
          <w:rFonts w:ascii="Minion-Regular" w:hAnsi="Minion-Regular" w:cs="Minion-Regular"/>
          <w:b/>
          <w:sz w:val="24"/>
          <w:szCs w:val="24"/>
        </w:rPr>
        <w:lastRenderedPageBreak/>
        <w:t>Complications</w:t>
      </w: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F12EAB">
        <w:rPr>
          <w:rFonts w:ascii="Minion-Regular" w:hAnsi="Minion-Regular" w:cs="Minion-Regular"/>
          <w:sz w:val="24"/>
          <w:szCs w:val="24"/>
        </w:rPr>
        <w:t>S</w:t>
      </w:r>
      <w:r w:rsidRPr="00F12EAB">
        <w:rPr>
          <w:rFonts w:ascii="Minion-Regular" w:hAnsi="Minion-Regular" w:cs="Minion-Regular"/>
          <w:sz w:val="24"/>
          <w:szCs w:val="24"/>
        </w:rPr>
        <w:t xml:space="preserve">uspensory </w:t>
      </w:r>
      <w:proofErr w:type="spellStart"/>
      <w:r w:rsidRPr="00F12EAB">
        <w:rPr>
          <w:rFonts w:ascii="Minion-Regular" w:hAnsi="Minion-Regular" w:cs="Minion-Regular"/>
          <w:sz w:val="24"/>
          <w:szCs w:val="24"/>
        </w:rPr>
        <w:t>desmitis</w:t>
      </w:r>
      <w:proofErr w:type="spellEnd"/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</w:p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4"/>
          <w:szCs w:val="24"/>
        </w:rPr>
      </w:pPr>
      <w:bookmarkStart w:id="0" w:name="_GoBack"/>
      <w:r w:rsidRPr="00F12EAB">
        <w:rPr>
          <w:rFonts w:ascii="Minion-Regular" w:hAnsi="Minion-Regular" w:cs="Minion-Regular"/>
          <w:b/>
          <w:sz w:val="24"/>
          <w:szCs w:val="24"/>
        </w:rPr>
        <w:t>Prognosis</w:t>
      </w:r>
    </w:p>
    <w:bookmarkEnd w:id="0"/>
    <w:p w:rsidR="00F12EAB" w:rsidRPr="00F12EAB" w:rsidRDefault="00F12EAB" w:rsidP="00F12EA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proofErr w:type="gramStart"/>
      <w:r w:rsidRPr="00F12EAB">
        <w:rPr>
          <w:rFonts w:ascii="Minion-Regular" w:hAnsi="Minion-Regular" w:cs="Minion-Regular"/>
          <w:sz w:val="24"/>
          <w:szCs w:val="24"/>
        </w:rPr>
        <w:t>Limited for return to athletics.</w:t>
      </w:r>
      <w:proofErr w:type="gramEnd"/>
    </w:p>
    <w:sectPr w:rsidR="00F12EAB" w:rsidRPr="00F1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2D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A10551"/>
    <w:rsid w:val="00A1744D"/>
    <w:rsid w:val="00A459E1"/>
    <w:rsid w:val="00A66D10"/>
    <w:rsid w:val="00A847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27F2D"/>
    <w:rsid w:val="00D340AB"/>
    <w:rsid w:val="00D701AD"/>
    <w:rsid w:val="00D726F7"/>
    <w:rsid w:val="00D752F0"/>
    <w:rsid w:val="00E12F44"/>
    <w:rsid w:val="00E35DBE"/>
    <w:rsid w:val="00E60FDB"/>
    <w:rsid w:val="00E96DC1"/>
    <w:rsid w:val="00EA0255"/>
    <w:rsid w:val="00EA0ACF"/>
    <w:rsid w:val="00EB66E6"/>
    <w:rsid w:val="00F1260E"/>
    <w:rsid w:val="00F12EAB"/>
    <w:rsid w:val="00F46B3B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2016-10-10T01:30:00Z</dcterms:created>
  <dcterms:modified xsi:type="dcterms:W3CDTF">2016-10-10T01:48:00Z</dcterms:modified>
</cp:coreProperties>
</file>