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13" w:rsidRPr="009A51A3" w:rsidRDefault="009A51A3" w:rsidP="00295513">
      <w:pPr>
        <w:rPr>
          <w:rFonts w:ascii="Comic Sans MS" w:hAnsi="Comic Sans MS"/>
          <w:b/>
          <w:color w:val="C45911" w:themeColor="accent2" w:themeShade="BF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5072174</wp:posOffset>
            </wp:positionH>
            <wp:positionV relativeFrom="paragraph">
              <wp:posOffset>-871796</wp:posOffset>
            </wp:positionV>
            <wp:extent cx="1675130" cy="1383030"/>
            <wp:effectExtent l="0" t="0" r="1270" b="7620"/>
            <wp:wrapNone/>
            <wp:docPr id="5" name="Picture 5" descr="C:\Users\c\AppData\Local\Microsoft\Windows\INetCache\Content.Word\cartoon-farmer-couple-with-a-cow-by-toonaday-6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\AppData\Local\Microsoft\Windows\INetCache\Content.Word\cartoon-farmer-couple-with-a-cow-by-toonaday-62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395">
        <w:rPr>
          <w:rFonts w:ascii="Comic Sans MS" w:hAnsi="Comic Sans MS"/>
          <w:b/>
          <w:color w:val="C45911" w:themeColor="accent2" w:themeShade="BF"/>
          <w:sz w:val="36"/>
          <w:szCs w:val="36"/>
          <w:u w:val="single"/>
        </w:rPr>
        <w:t xml:space="preserve">Client </w:t>
      </w:r>
      <w:r w:rsidR="00340F7D" w:rsidRPr="009A51A3">
        <w:rPr>
          <w:rFonts w:ascii="Comic Sans MS" w:hAnsi="Comic Sans MS"/>
          <w:b/>
          <w:color w:val="C45911" w:themeColor="accent2" w:themeShade="BF"/>
          <w:sz w:val="36"/>
          <w:szCs w:val="36"/>
          <w:u w:val="single"/>
        </w:rPr>
        <w:t>Consideration</w:t>
      </w:r>
      <w:r w:rsidR="005C5395">
        <w:rPr>
          <w:rFonts w:ascii="Comic Sans MS" w:hAnsi="Comic Sans MS"/>
          <w:b/>
          <w:color w:val="C45911" w:themeColor="accent2" w:themeShade="BF"/>
          <w:sz w:val="36"/>
          <w:szCs w:val="36"/>
          <w:u w:val="single"/>
        </w:rPr>
        <w:t>s</w:t>
      </w:r>
    </w:p>
    <w:p w:rsidR="00295513" w:rsidRDefault="00CA60BB" w:rsidP="00295513">
      <w:pPr>
        <w:rPr>
          <w:rFonts w:ascii="Comic Sans MS" w:eastAsiaTheme="minorEastAsia" w:hAnsi="Comic Sans MS"/>
          <w:color w:val="C45911" w:themeColor="accent2" w:themeShade="BF"/>
          <w:kern w:val="24"/>
        </w:rPr>
      </w:pPr>
      <w:r>
        <w:rPr>
          <w:rFonts w:ascii="Comic Sans MS" w:eastAsiaTheme="minorEastAsia" w:hAnsi="Comic Sans MS"/>
          <w:color w:val="C45911" w:themeColor="accent2" w:themeShade="BF"/>
          <w:kern w:val="24"/>
        </w:rPr>
        <w:t xml:space="preserve">Prognosis is favourable for recovery, especially for a simple hernia. </w:t>
      </w:r>
      <w:r w:rsidR="00B04914" w:rsidRPr="00CA60BB">
        <w:rPr>
          <w:rFonts w:ascii="Comic Sans MS" w:eastAsiaTheme="minorEastAsia" w:hAnsi="Comic Sans MS"/>
          <w:color w:val="C45911" w:themeColor="accent2" w:themeShade="BF"/>
          <w:kern w:val="24"/>
        </w:rPr>
        <w:t>For simple hernia repairs antibiotics are often given only at the time of surgery to reduce the risk of infection. However, if there is an extensive infection, a longer course of antibiotics may be necessary. Non-steroidal anti-inflammatory drugs are useful for reducing pain but should be used cautiously since they can cause abomasal (stomach) ulcers if given too long.</w:t>
      </w:r>
      <w:r>
        <w:rPr>
          <w:rFonts w:ascii="Comic Sans MS" w:eastAsiaTheme="minorEastAsia" w:hAnsi="Comic Sans MS"/>
          <w:color w:val="C45911" w:themeColor="accent2" w:themeShade="BF"/>
          <w:kern w:val="24"/>
        </w:rPr>
        <w:t xml:space="preserve"> Calves with infected umbilical vein remnants extending towards the liver are at risk of peritonitis and a poor prognosis.</w:t>
      </w:r>
      <w:r w:rsidR="00295513" w:rsidRPr="00CA60BB">
        <w:rPr>
          <w:rFonts w:ascii="Comic Sans MS" w:eastAsiaTheme="minorEastAsia" w:hAnsi="Comic Sans MS"/>
          <w:color w:val="C45911" w:themeColor="accent2" w:themeShade="BF"/>
          <w:kern w:val="24"/>
        </w:rPr>
        <w:t xml:space="preserve"> Therefore, farmers should be informed of the risk</w:t>
      </w:r>
      <w:r>
        <w:rPr>
          <w:rFonts w:ascii="Comic Sans MS" w:eastAsiaTheme="minorEastAsia" w:hAnsi="Comic Sans MS"/>
          <w:color w:val="C45911" w:themeColor="accent2" w:themeShade="BF"/>
          <w:kern w:val="24"/>
        </w:rPr>
        <w:t>s</w:t>
      </w:r>
      <w:r w:rsidR="00295513" w:rsidRPr="00CA60BB">
        <w:rPr>
          <w:rFonts w:ascii="Comic Sans MS" w:eastAsiaTheme="minorEastAsia" w:hAnsi="Comic Sans MS"/>
          <w:color w:val="C45911" w:themeColor="accent2" w:themeShade="BF"/>
          <w:kern w:val="24"/>
        </w:rPr>
        <w:t>.</w:t>
      </w:r>
      <w:r w:rsidR="001E7872" w:rsidRPr="00CA60BB">
        <w:rPr>
          <w:rFonts w:ascii="Comic Sans MS" w:eastAsiaTheme="minorEastAsia" w:hAnsi="Comic Sans MS"/>
          <w:color w:val="C45911" w:themeColor="accent2" w:themeShade="BF"/>
          <w:kern w:val="24"/>
        </w:rPr>
        <w:t> </w:t>
      </w:r>
    </w:p>
    <w:p w:rsidR="006456A9" w:rsidRPr="00CA60BB" w:rsidRDefault="006456A9" w:rsidP="00295513">
      <w:pPr>
        <w:rPr>
          <w:rFonts w:ascii="Comic Sans MS" w:eastAsiaTheme="minorEastAsia" w:hAnsi="Comic Sans MS"/>
          <w:color w:val="C45911" w:themeColor="accent2" w:themeShade="BF"/>
          <w:kern w:val="24"/>
        </w:rPr>
      </w:pPr>
      <w:r>
        <w:rPr>
          <w:rFonts w:ascii="Comic Sans MS" w:eastAsiaTheme="minorEastAsia" w:hAnsi="Comic Sans MS"/>
          <w:color w:val="C45911" w:themeColor="accent2" w:themeShade="BF"/>
          <w:kern w:val="24"/>
        </w:rPr>
        <w:t xml:space="preserve">For all patients the skin sutures should be removed within 10-14 days. </w:t>
      </w:r>
    </w:p>
    <w:p w:rsidR="00295513" w:rsidRPr="00CA60BB" w:rsidRDefault="00340F7D" w:rsidP="00295513">
      <w:pPr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 xml:space="preserve">Nursing care done by farmer should be thoroughly explained by the veterinarian, this includes: </w:t>
      </w:r>
    </w:p>
    <w:p w:rsidR="00295513" w:rsidRPr="00CA60BB" w:rsidRDefault="00295513" w:rsidP="00340F7D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>housing the animal on dry cl</w:t>
      </w:r>
      <w:r w:rsidR="001E7872" w:rsidRPr="00CA60BB">
        <w:rPr>
          <w:rFonts w:ascii="Comic Sans MS" w:hAnsi="Comic Sans MS"/>
          <w:color w:val="C45911" w:themeColor="accent2" w:themeShade="BF"/>
        </w:rPr>
        <w:t>ean bedding in a confined space to prevent tension on the incision site.</w:t>
      </w:r>
    </w:p>
    <w:p w:rsidR="00295513" w:rsidRPr="00CA60BB" w:rsidRDefault="00295513" w:rsidP="00340F7D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>Vital parameters- temperature, pulse, respiration and capillary refill time</w:t>
      </w:r>
      <w:r w:rsidR="004E6834">
        <w:rPr>
          <w:rFonts w:ascii="Comic Sans MS" w:hAnsi="Comic Sans MS"/>
          <w:color w:val="C45911" w:themeColor="accent2" w:themeShade="BF"/>
        </w:rPr>
        <w:t>, signs of pain and appetite</w:t>
      </w:r>
      <w:r w:rsidRPr="00CA60BB">
        <w:rPr>
          <w:rFonts w:ascii="Comic Sans MS" w:hAnsi="Comic Sans MS"/>
          <w:color w:val="C45911" w:themeColor="accent2" w:themeShade="BF"/>
        </w:rPr>
        <w:t xml:space="preserve"> should </w:t>
      </w:r>
      <w:r w:rsidR="009A51A3" w:rsidRPr="00CA60BB">
        <w:rPr>
          <w:rFonts w:ascii="Comic Sans MS" w:hAnsi="Comic Sans MS"/>
          <w:color w:val="C45911" w:themeColor="accent2" w:themeShade="BF"/>
        </w:rPr>
        <w:t xml:space="preserve">be </w:t>
      </w:r>
      <w:r w:rsidR="004E6834">
        <w:rPr>
          <w:rFonts w:ascii="Comic Sans MS" w:hAnsi="Comic Sans MS"/>
          <w:color w:val="C45911" w:themeColor="accent2" w:themeShade="BF"/>
        </w:rPr>
        <w:t>monitored</w:t>
      </w:r>
      <w:r w:rsidRPr="00CA60BB">
        <w:rPr>
          <w:rFonts w:ascii="Comic Sans MS" w:hAnsi="Comic Sans MS"/>
          <w:color w:val="C45911" w:themeColor="accent2" w:themeShade="BF"/>
        </w:rPr>
        <w:t xml:space="preserve"> daily</w:t>
      </w:r>
      <w:r w:rsidR="009A51A3" w:rsidRPr="00CA60BB">
        <w:rPr>
          <w:rFonts w:ascii="Comic Sans MS" w:hAnsi="Comic Sans MS"/>
          <w:color w:val="C45911" w:themeColor="accent2" w:themeShade="BF"/>
        </w:rPr>
        <w:t>.</w:t>
      </w:r>
    </w:p>
    <w:p w:rsidR="00295513" w:rsidRPr="00CA60BB" w:rsidRDefault="00295513" w:rsidP="00340F7D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 xml:space="preserve">if </w:t>
      </w:r>
      <w:r w:rsidR="001E7872" w:rsidRPr="00CA60BB">
        <w:rPr>
          <w:rFonts w:ascii="Comic Sans MS" w:hAnsi="Comic Sans MS"/>
          <w:color w:val="C45911" w:themeColor="accent2" w:themeShade="BF"/>
        </w:rPr>
        <w:t>the animal is hypothermic a</w:t>
      </w:r>
      <w:r w:rsidRPr="00CA60BB">
        <w:rPr>
          <w:rFonts w:ascii="Comic Sans MS" w:hAnsi="Comic Sans MS"/>
          <w:color w:val="C45911" w:themeColor="accent2" w:themeShade="BF"/>
        </w:rPr>
        <w:t xml:space="preserve"> warming mat should be </w:t>
      </w:r>
      <w:r w:rsidR="001E7872" w:rsidRPr="00CA60BB">
        <w:rPr>
          <w:rFonts w:ascii="Comic Sans MS" w:hAnsi="Comic Sans MS"/>
          <w:color w:val="C45911" w:themeColor="accent2" w:themeShade="BF"/>
        </w:rPr>
        <w:t>provided,</w:t>
      </w:r>
      <w:r w:rsidRPr="00CA60BB">
        <w:rPr>
          <w:rFonts w:ascii="Comic Sans MS" w:hAnsi="Comic Sans MS"/>
          <w:color w:val="C45911" w:themeColor="accent2" w:themeShade="BF"/>
        </w:rPr>
        <w:t xml:space="preserve"> and the temperature should be closely monitored.</w:t>
      </w:r>
    </w:p>
    <w:p w:rsidR="00340F7D" w:rsidRPr="00CA60BB" w:rsidRDefault="00340F7D" w:rsidP="00340F7D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>spray larvicide and topical antibiotic spray daily</w:t>
      </w:r>
      <w:r w:rsidR="005C5395">
        <w:rPr>
          <w:rFonts w:ascii="Comic Sans MS" w:hAnsi="Comic Sans MS"/>
          <w:color w:val="C45911" w:themeColor="accent2" w:themeShade="BF"/>
        </w:rPr>
        <w:t>.</w:t>
      </w:r>
    </w:p>
    <w:p w:rsidR="00295513" w:rsidRPr="00CA60BB" w:rsidRDefault="00295513" w:rsidP="00340F7D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>slowly re- introducing feed</w:t>
      </w:r>
      <w:r w:rsidR="005C5395">
        <w:rPr>
          <w:rFonts w:ascii="Comic Sans MS" w:hAnsi="Comic Sans MS"/>
          <w:color w:val="C45911" w:themeColor="accent2" w:themeShade="BF"/>
        </w:rPr>
        <w:t>.</w:t>
      </w:r>
    </w:p>
    <w:p w:rsidR="009A51A3" w:rsidRPr="00CA60BB" w:rsidRDefault="009A51A3" w:rsidP="009A51A3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>observing general behaviour for in appetence, isolation, changes in mentation</w:t>
      </w:r>
      <w:r w:rsidR="005C5395">
        <w:rPr>
          <w:rFonts w:ascii="Comic Sans MS" w:hAnsi="Comic Sans MS"/>
          <w:color w:val="C45911" w:themeColor="accent2" w:themeShade="BF"/>
        </w:rPr>
        <w:t>.</w:t>
      </w:r>
    </w:p>
    <w:p w:rsidR="00340F7D" w:rsidRPr="00CA60BB" w:rsidRDefault="00340F7D" w:rsidP="00340F7D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>examine the surgical site daily to ensure no maggot infestation developed</w:t>
      </w:r>
      <w:r w:rsidR="005C5395">
        <w:rPr>
          <w:rFonts w:ascii="Comic Sans MS" w:hAnsi="Comic Sans MS"/>
          <w:color w:val="C45911" w:themeColor="accent2" w:themeShade="BF"/>
        </w:rPr>
        <w:t>.</w:t>
      </w:r>
    </w:p>
    <w:p w:rsidR="00340F7D" w:rsidRPr="00CA60BB" w:rsidRDefault="00340F7D" w:rsidP="00340F7D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>observe for signs of infection and inflammation by looking out for signs of excessive pain, heat, swelling, redness and weakness/in activity</w:t>
      </w:r>
      <w:r w:rsidR="005C5395">
        <w:rPr>
          <w:rFonts w:ascii="Comic Sans MS" w:hAnsi="Comic Sans MS"/>
          <w:color w:val="C45911" w:themeColor="accent2" w:themeShade="BF"/>
        </w:rPr>
        <w:t>.</w:t>
      </w:r>
    </w:p>
    <w:p w:rsidR="009A51A3" w:rsidRPr="00CA60BB" w:rsidRDefault="009A51A3" w:rsidP="009A51A3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>in Pinky’s case, the incision should be closely monitored due to the severity of swelling.</w:t>
      </w:r>
    </w:p>
    <w:p w:rsidR="001E7872" w:rsidRDefault="001E7872" w:rsidP="009A51A3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>in Kelvin’s case, the preputial area should be expressed daily until the animal is seen urinating normally.</w:t>
      </w:r>
    </w:p>
    <w:p w:rsidR="000C3528" w:rsidRPr="00CA60BB" w:rsidRDefault="000C3528" w:rsidP="009A51A3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>
        <w:rPr>
          <w:rFonts w:ascii="Comic Sans MS" w:hAnsi="Comic Sans MS"/>
          <w:color w:val="C45911" w:themeColor="accent2" w:themeShade="BF"/>
        </w:rPr>
        <w:t>abdominal bandages can be applied for 24 hrs and removed twice daily for cold or warm hydrotherapy for 20 – 30 mins. This method can help minimize</w:t>
      </w:r>
      <w:r w:rsidR="009E6BCE">
        <w:rPr>
          <w:rFonts w:ascii="Comic Sans MS" w:hAnsi="Comic Sans MS"/>
          <w:color w:val="C45911" w:themeColor="accent2" w:themeShade="BF"/>
        </w:rPr>
        <w:t xml:space="preserve"> swelling especially in ventral </w:t>
      </w:r>
      <w:r>
        <w:rPr>
          <w:rFonts w:ascii="Comic Sans MS" w:hAnsi="Comic Sans MS"/>
          <w:color w:val="C45911" w:themeColor="accent2" w:themeShade="BF"/>
        </w:rPr>
        <w:t>hernias.</w:t>
      </w:r>
      <w:r w:rsidR="009E6BCE">
        <w:rPr>
          <w:rFonts w:ascii="Comic Sans MS" w:hAnsi="Comic Sans MS"/>
          <w:color w:val="C45911" w:themeColor="accent2" w:themeShade="BF"/>
        </w:rPr>
        <w:t xml:space="preserve"> Hydrotherapy can also be used for scrotal hernias.</w:t>
      </w:r>
    </w:p>
    <w:p w:rsidR="00340F7D" w:rsidRPr="00CA60BB" w:rsidRDefault="00340F7D" w:rsidP="00340F7D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>observe for signs of neurological dysfunction such as lameness, or an inability to coordinate limbs</w:t>
      </w:r>
      <w:r w:rsidR="005C5395">
        <w:rPr>
          <w:rFonts w:ascii="Comic Sans MS" w:hAnsi="Comic Sans MS"/>
          <w:color w:val="C45911" w:themeColor="accent2" w:themeShade="BF"/>
        </w:rPr>
        <w:t>.</w:t>
      </w:r>
    </w:p>
    <w:p w:rsidR="00CA60BB" w:rsidRPr="00CA60BB" w:rsidRDefault="001E7872" w:rsidP="00CA60BB">
      <w:pPr>
        <w:pStyle w:val="ListParagraph"/>
        <w:numPr>
          <w:ilvl w:val="0"/>
          <w:numId w:val="4"/>
        </w:numPr>
        <w:spacing w:before="240"/>
        <w:jc w:val="both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>since the patients are food animals the famer should be informed of withdrawal times of the vari</w:t>
      </w:r>
      <w:r w:rsidR="00CA60BB">
        <w:rPr>
          <w:rFonts w:ascii="Comic Sans MS" w:hAnsi="Comic Sans MS"/>
          <w:color w:val="C45911" w:themeColor="accent2" w:themeShade="BF"/>
        </w:rPr>
        <w:t>ous drugs used post operatively.</w:t>
      </w:r>
      <w:r w:rsidR="00014272">
        <w:rPr>
          <w:rFonts w:ascii="Comic Sans MS" w:hAnsi="Comic Sans MS"/>
          <w:color w:val="C45911" w:themeColor="accent2" w:themeShade="BF"/>
        </w:rPr>
        <w:t xml:space="preserve"> Additionally, hernias are considered as a hereditary trait and these animals should not be used from breeding.</w:t>
      </w:r>
    </w:p>
    <w:p w:rsidR="00340F7D" w:rsidRPr="00CA60BB" w:rsidRDefault="00340F7D" w:rsidP="00340F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right="720"/>
        <w:jc w:val="both"/>
        <w:textAlignment w:val="baseline"/>
        <w:rPr>
          <w:rFonts w:ascii="Comic Sans MS" w:hAnsi="Comic Sans MS"/>
          <w:color w:val="C45911" w:themeColor="accent2" w:themeShade="BF"/>
        </w:rPr>
      </w:pPr>
      <w:r w:rsidRPr="00CA60BB">
        <w:rPr>
          <w:rFonts w:ascii="Comic Sans MS" w:hAnsi="Comic Sans MS"/>
          <w:color w:val="C45911" w:themeColor="accent2" w:themeShade="BF"/>
        </w:rPr>
        <w:t xml:space="preserve">For any </w:t>
      </w:r>
      <w:r w:rsidR="001E7872" w:rsidRPr="00CA60BB">
        <w:rPr>
          <w:rFonts w:ascii="Comic Sans MS" w:hAnsi="Comic Sans MS"/>
          <w:color w:val="C45911" w:themeColor="accent2" w:themeShade="BF"/>
        </w:rPr>
        <w:t>other concerns</w:t>
      </w:r>
      <w:r w:rsidRPr="00CA60BB">
        <w:rPr>
          <w:rFonts w:ascii="Comic Sans MS" w:hAnsi="Comic Sans MS"/>
          <w:color w:val="C45911" w:themeColor="accent2" w:themeShade="BF"/>
        </w:rPr>
        <w:t xml:space="preserve"> </w:t>
      </w:r>
      <w:r w:rsidR="001E7872" w:rsidRPr="00CA60BB">
        <w:rPr>
          <w:rFonts w:ascii="Comic Sans MS" w:hAnsi="Comic Sans MS"/>
          <w:color w:val="C45911" w:themeColor="accent2" w:themeShade="BF"/>
        </w:rPr>
        <w:t>the farmer should be informed of</w:t>
      </w:r>
      <w:r w:rsidRPr="00CA60BB">
        <w:rPr>
          <w:rFonts w:ascii="Comic Sans MS" w:hAnsi="Comic Sans MS"/>
          <w:color w:val="C45911" w:themeColor="accent2" w:themeShade="BF"/>
        </w:rPr>
        <w:t xml:space="preserve"> the veterinarian’s emergency number.</w:t>
      </w:r>
    </w:p>
    <w:p w:rsidR="009A51A3" w:rsidRDefault="000C3528" w:rsidP="009A51A3">
      <w:pPr>
        <w:autoSpaceDE w:val="0"/>
        <w:autoSpaceDN w:val="0"/>
        <w:adjustRightInd w:val="0"/>
        <w:spacing w:before="240" w:after="0" w:line="240" w:lineRule="auto"/>
        <w:ind w:right="720"/>
        <w:jc w:val="both"/>
        <w:textAlignment w:val="baseline"/>
        <w:rPr>
          <w:rFonts w:ascii="Comic Sans MS" w:hAnsi="Comic Sans MS"/>
          <w:color w:val="C45911" w:themeColor="accent2" w:themeShade="BF"/>
          <w:sz w:val="24"/>
          <w:szCs w:val="24"/>
        </w:rPr>
      </w:pPr>
      <w:r w:rsidRPr="009A51A3"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24E4E044" wp14:editId="7B7C5F60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990725" cy="1990725"/>
            <wp:effectExtent l="0" t="0" r="9525" b="9525"/>
            <wp:wrapNone/>
            <wp:docPr id="4" name="Picture 4" descr="Image result for pig and farm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ig and farmer carto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1A3" w:rsidRDefault="009A51A3" w:rsidP="009A51A3">
      <w:pPr>
        <w:autoSpaceDE w:val="0"/>
        <w:autoSpaceDN w:val="0"/>
        <w:adjustRightInd w:val="0"/>
        <w:spacing w:before="240" w:after="0" w:line="240" w:lineRule="auto"/>
        <w:ind w:right="720"/>
        <w:jc w:val="both"/>
        <w:textAlignment w:val="baseline"/>
        <w:rPr>
          <w:rFonts w:ascii="Comic Sans MS" w:hAnsi="Comic Sans MS"/>
          <w:color w:val="C45911" w:themeColor="accent2" w:themeShade="BF"/>
          <w:sz w:val="24"/>
          <w:szCs w:val="24"/>
        </w:rPr>
      </w:pPr>
    </w:p>
    <w:p w:rsidR="009A51A3" w:rsidRPr="009A51A3" w:rsidRDefault="009A51A3" w:rsidP="009A51A3">
      <w:pPr>
        <w:autoSpaceDE w:val="0"/>
        <w:autoSpaceDN w:val="0"/>
        <w:adjustRightInd w:val="0"/>
        <w:spacing w:before="240" w:after="0" w:line="240" w:lineRule="auto"/>
        <w:ind w:right="720"/>
        <w:jc w:val="both"/>
        <w:textAlignment w:val="baseline"/>
        <w:rPr>
          <w:rFonts w:ascii="Comic Sans MS" w:hAnsi="Comic Sans MS"/>
          <w:color w:val="C45911" w:themeColor="accent2" w:themeShade="BF"/>
          <w:sz w:val="28"/>
          <w:szCs w:val="28"/>
        </w:rPr>
      </w:pPr>
      <w:bookmarkStart w:id="0" w:name="_GoBack"/>
      <w:bookmarkEnd w:id="0"/>
      <w:r w:rsidRPr="009A51A3">
        <w:rPr>
          <w:rFonts w:ascii="Comic Sans MS" w:hAnsi="Comic Sans MS" w:cs="Times New Roman"/>
          <w:b/>
          <w:color w:val="C45911" w:themeColor="accent2" w:themeShade="BF"/>
          <w:sz w:val="28"/>
          <w:szCs w:val="28"/>
          <w:u w:val="single"/>
        </w:rPr>
        <w:t>Prevention of hernias</w:t>
      </w:r>
    </w:p>
    <w:p w:rsidR="009A51A3" w:rsidRPr="009A51A3" w:rsidRDefault="009A51A3" w:rsidP="009A51A3">
      <w:pPr>
        <w:spacing w:line="259" w:lineRule="auto"/>
        <w:jc w:val="both"/>
        <w:rPr>
          <w:rFonts w:ascii="Comic Sans MS" w:hAnsi="Comic Sans MS" w:cs="Times New Roman"/>
          <w:color w:val="C45911" w:themeColor="accent2" w:themeShade="BF"/>
          <w:sz w:val="28"/>
          <w:szCs w:val="28"/>
        </w:rPr>
      </w:pPr>
    </w:p>
    <w:p w:rsidR="009A51A3" w:rsidRPr="009A51A3" w:rsidRDefault="009A51A3" w:rsidP="009A51A3">
      <w:pPr>
        <w:shd w:val="clear" w:color="auto" w:fill="FFFFFF"/>
        <w:spacing w:before="240" w:after="360" w:line="240" w:lineRule="auto"/>
        <w:ind w:left="120" w:right="300"/>
        <w:jc w:val="both"/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</w:pPr>
      <w:r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Although the occurrence of scrotal and umbilical hernias is often a frustrating concern for commercial farms, there are several areas where the producer can try to reduce the incidence of hernias:</w:t>
      </w:r>
    </w:p>
    <w:p w:rsidR="009A51A3" w:rsidRPr="009A51A3" w:rsidRDefault="009A51A3" w:rsidP="009A51A3">
      <w:pPr>
        <w:numPr>
          <w:ilvl w:val="0"/>
          <w:numId w:val="5"/>
        </w:numPr>
        <w:spacing w:after="0" w:line="293" w:lineRule="atLeast"/>
        <w:ind w:left="600" w:right="720"/>
        <w:jc w:val="both"/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</w:pPr>
      <w:r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Good sanitation and hygiene may be more likely to reduce the incidence of umbilical hernias than e</w:t>
      </w:r>
      <w:r w:rsidR="001E7872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liminating certain animals</w:t>
      </w:r>
      <w:r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 xml:space="preserve">. Disinfecting umbilical cords </w:t>
      </w:r>
      <w:r w:rsidR="00CA60BB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 xml:space="preserve">using an iodine solution </w:t>
      </w:r>
      <w:r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has been reported to decrease the incidence of infection.</w:t>
      </w:r>
    </w:p>
    <w:p w:rsidR="009A51A3" w:rsidRPr="009A51A3" w:rsidRDefault="00CA60BB" w:rsidP="009A51A3">
      <w:pPr>
        <w:numPr>
          <w:ilvl w:val="0"/>
          <w:numId w:val="5"/>
        </w:numPr>
        <w:spacing w:after="0" w:line="293" w:lineRule="atLeast"/>
        <w:ind w:left="600" w:right="720"/>
        <w:jc w:val="both"/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</w:pPr>
      <w:r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 xml:space="preserve">Improving animal’s </w:t>
      </w:r>
      <w:r w:rsidR="009A51A3"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crate sanitat</w:t>
      </w:r>
      <w:r w:rsidR="001E7872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ion by removing accumulated faecal matter</w:t>
      </w:r>
      <w:r w:rsidR="009A51A3"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 xml:space="preserve"> before </w:t>
      </w:r>
      <w:r w:rsidR="001E7872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parturition</w:t>
      </w:r>
      <w:r w:rsidR="009A51A3"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 xml:space="preserve"> and using a desiccant powder to keep the crate floor dry may reduc</w:t>
      </w:r>
      <w:r w:rsidR="001E7872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e bacterial levels in the animal</w:t>
      </w:r>
      <w:r w:rsidR="009A51A3"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s' environment, thus reducing the risk of umbilical infection and umbilical hernias.</w:t>
      </w:r>
    </w:p>
    <w:p w:rsidR="009A51A3" w:rsidRPr="009A51A3" w:rsidRDefault="009A51A3" w:rsidP="009A51A3">
      <w:pPr>
        <w:numPr>
          <w:ilvl w:val="0"/>
          <w:numId w:val="5"/>
        </w:numPr>
        <w:spacing w:after="0" w:line="293" w:lineRule="atLeast"/>
        <w:ind w:left="600" w:right="720"/>
        <w:jc w:val="both"/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</w:pPr>
      <w:r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Environmental factors such as abnormal stretching of the</w:t>
      </w:r>
      <w:r w:rsidR="001E7872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 xml:space="preserve"> umbilical cord during parturition</w:t>
      </w:r>
      <w:r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, incorrect placing of navel clips or infection of the</w:t>
      </w:r>
      <w:r w:rsidR="001E7872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 xml:space="preserve"> umbilical "stump" (e.g. the piglet)</w:t>
      </w:r>
      <w:r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 xml:space="preserve"> could contribute to the failure of the umbilical cord opening to close correctly.</w:t>
      </w:r>
    </w:p>
    <w:p w:rsidR="009A51A3" w:rsidRPr="009A51A3" w:rsidRDefault="009A51A3" w:rsidP="009A51A3">
      <w:pPr>
        <w:numPr>
          <w:ilvl w:val="0"/>
          <w:numId w:val="5"/>
        </w:numPr>
        <w:spacing w:after="0" w:line="293" w:lineRule="atLeast"/>
        <w:ind w:left="600" w:right="720"/>
        <w:jc w:val="both"/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</w:pPr>
      <w:r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 xml:space="preserve">In scrotal/inguinal hernias, careful pig handling can </w:t>
      </w:r>
      <w:r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 xml:space="preserve">make a </w:t>
      </w:r>
      <w:r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significant difference to herd incidence.</w:t>
      </w:r>
    </w:p>
    <w:p w:rsidR="009A51A3" w:rsidRPr="009A51A3" w:rsidRDefault="00CA60BB" w:rsidP="008813B2">
      <w:pPr>
        <w:numPr>
          <w:ilvl w:val="0"/>
          <w:numId w:val="5"/>
        </w:numPr>
        <w:spacing w:after="0" w:line="259" w:lineRule="auto"/>
        <w:ind w:left="600" w:right="720"/>
        <w:jc w:val="both"/>
        <w:rPr>
          <w:rFonts w:ascii="Comic Sans MS" w:hAnsi="Comic Sans MS" w:cs="Times New Roman"/>
          <w:color w:val="C45911" w:themeColor="accent2" w:themeShade="BF"/>
          <w:sz w:val="28"/>
          <w:szCs w:val="28"/>
        </w:rPr>
      </w:pPr>
      <w:r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>As in all animal</w:t>
      </w:r>
      <w:r w:rsidR="009A51A3" w:rsidRPr="009A51A3">
        <w:rPr>
          <w:rFonts w:ascii="Comic Sans MS" w:eastAsia="Times New Roman" w:hAnsi="Comic Sans MS" w:cs="Times New Roman"/>
          <w:color w:val="C45911" w:themeColor="accent2" w:themeShade="BF"/>
          <w:sz w:val="28"/>
          <w:szCs w:val="28"/>
          <w:lang w:eastAsia="en-TT"/>
        </w:rPr>
        <w:t xml:space="preserve"> production, good stockmanship yields positive results.</w:t>
      </w:r>
    </w:p>
    <w:p w:rsidR="007A06ED" w:rsidRPr="009A51A3" w:rsidRDefault="007A06ED">
      <w:pPr>
        <w:rPr>
          <w:rFonts w:ascii="Comic Sans MS" w:hAnsi="Comic Sans MS"/>
          <w:color w:val="C45911" w:themeColor="accent2" w:themeShade="BF"/>
          <w:sz w:val="28"/>
          <w:szCs w:val="28"/>
        </w:rPr>
      </w:pPr>
    </w:p>
    <w:sectPr w:rsidR="007A06ED" w:rsidRPr="009A5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01A3"/>
    <w:multiLevelType w:val="multilevel"/>
    <w:tmpl w:val="CE1C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51A2"/>
    <w:multiLevelType w:val="hybridMultilevel"/>
    <w:tmpl w:val="D446182E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7E89"/>
    <w:multiLevelType w:val="hybridMultilevel"/>
    <w:tmpl w:val="5C6E6BCC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C43A3"/>
    <w:multiLevelType w:val="hybridMultilevel"/>
    <w:tmpl w:val="576C5D82"/>
    <w:lvl w:ilvl="0" w:tplc="2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2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F0C4825"/>
    <w:multiLevelType w:val="hybridMultilevel"/>
    <w:tmpl w:val="DE3A0EF8"/>
    <w:lvl w:ilvl="0" w:tplc="2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F0B11"/>
    <w:multiLevelType w:val="hybridMultilevel"/>
    <w:tmpl w:val="69C2A81C"/>
    <w:lvl w:ilvl="0" w:tplc="C3B6AF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9203E3A" w:tentative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D0DB44" w:tentative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72BD0E" w:tentative="1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8EA65EC" w:tentative="1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D83A76" w:tentative="1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A8ACDA" w:tentative="1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0E4BA6" w:tentative="1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3453BA" w:tentative="1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7D"/>
    <w:rsid w:val="00014272"/>
    <w:rsid w:val="000C3528"/>
    <w:rsid w:val="001E7872"/>
    <w:rsid w:val="00295513"/>
    <w:rsid w:val="00340F7D"/>
    <w:rsid w:val="004E6834"/>
    <w:rsid w:val="005C5395"/>
    <w:rsid w:val="006456A9"/>
    <w:rsid w:val="007A06ED"/>
    <w:rsid w:val="009A51A3"/>
    <w:rsid w:val="009E6BCE"/>
    <w:rsid w:val="00B04914"/>
    <w:rsid w:val="00CA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10A8E"/>
  <w15:chartTrackingRefBased/>
  <w15:docId w15:val="{11B61590-0308-40F6-B644-2BA132CE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F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6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9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Sunita Ramoutarsingh</cp:lastModifiedBy>
  <cp:revision>6</cp:revision>
  <dcterms:created xsi:type="dcterms:W3CDTF">2017-10-22T06:34:00Z</dcterms:created>
  <dcterms:modified xsi:type="dcterms:W3CDTF">2017-10-22T19:03:00Z</dcterms:modified>
</cp:coreProperties>
</file>