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0954" w:rsidRPr="00BB0954" w:rsidRDefault="00BB0954" w:rsidP="00BB0954">
      <w:pPr>
        <w:jc w:val="center"/>
        <w:rPr>
          <w:rFonts w:ascii="Arial" w:hAnsi="Arial" w:cs="Arial"/>
          <w:b/>
          <w:sz w:val="24"/>
          <w:szCs w:val="24"/>
        </w:rPr>
      </w:pPr>
      <w:r w:rsidRPr="00BB0954">
        <w:rPr>
          <w:rFonts w:ascii="Arial" w:hAnsi="Arial" w:cs="Arial"/>
          <w:b/>
          <w:sz w:val="24"/>
          <w:szCs w:val="24"/>
        </w:rPr>
        <w:t>Leyes de la alimentación</w:t>
      </w:r>
    </w:p>
    <w:p w:rsidR="00BB0954" w:rsidRDefault="00BB0954" w:rsidP="00BB0954">
      <w:pPr>
        <w:jc w:val="both"/>
        <w:rPr>
          <w:rFonts w:ascii="Arial" w:hAnsi="Arial" w:cs="Arial"/>
          <w:sz w:val="24"/>
          <w:szCs w:val="24"/>
        </w:rPr>
      </w:pPr>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De acuerdo a los postulados del Dr. Pedro Escudero, para que un individuo mantenga su composición corporal e integridad normal y conserve la vida es necesario que se alimente en forma adecuada, que el metabolismo no se altere y que las excreciones sean eliminadas sin problema alguno, derivado de esto hay principios o normas que orientan a la elaboración de una dieta correcta, que son denominados leyes de la alimentación.  </w:t>
      </w:r>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 </w:t>
      </w:r>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Estas leyes tienen como objetivo orientar la acción, los juicios y procedimientos a seguir en un régimen, el cual debe ser prescrito para mantener la salud o para recuperarla. Estas leyes son las siguientes. </w:t>
      </w:r>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  </w:t>
      </w:r>
    </w:p>
    <w:p w:rsidR="00BB0954" w:rsidRPr="00BB0954" w:rsidRDefault="00BB0954" w:rsidP="00BB0954">
      <w:pPr>
        <w:jc w:val="center"/>
        <w:rPr>
          <w:rFonts w:ascii="Arial" w:hAnsi="Arial" w:cs="Arial"/>
          <w:b/>
          <w:sz w:val="28"/>
          <w:szCs w:val="24"/>
        </w:rPr>
      </w:pPr>
      <w:r w:rsidRPr="00BB0954">
        <w:rPr>
          <w:rFonts w:ascii="Arial" w:hAnsi="Arial" w:cs="Arial"/>
          <w:b/>
          <w:sz w:val="28"/>
          <w:szCs w:val="24"/>
        </w:rPr>
        <w:t>Primera. Ley de la cantidad</w:t>
      </w:r>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 </w:t>
      </w:r>
      <w:bookmarkStart w:id="0" w:name="_GoBack"/>
      <w:bookmarkEnd w:id="0"/>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La ley de la cantidad establece que: </w:t>
      </w:r>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 </w:t>
      </w:r>
      <w:r>
        <w:rPr>
          <w:noProof/>
          <w:lang w:eastAsia="es-MX"/>
        </w:rPr>
        <w:drawing>
          <wp:inline distT="0" distB="0" distL="0" distR="0" wp14:anchorId="6C9F9303" wp14:editId="6FDCA7BC">
            <wp:extent cx="5478780" cy="855628"/>
            <wp:effectExtent l="0" t="0" r="762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1861" t="32293" r="24236" b="51689"/>
                    <a:stretch/>
                  </pic:blipFill>
                  <pic:spPr bwMode="auto">
                    <a:xfrm>
                      <a:off x="0" y="0"/>
                      <a:ext cx="5540105" cy="865205"/>
                    </a:xfrm>
                    <a:prstGeom prst="rect">
                      <a:avLst/>
                    </a:prstGeom>
                    <a:ln>
                      <a:noFill/>
                    </a:ln>
                    <a:extLst>
                      <a:ext uri="{53640926-AAD7-44D8-BBD7-CCE9431645EC}">
                        <a14:shadowObscured xmlns:a14="http://schemas.microsoft.com/office/drawing/2010/main"/>
                      </a:ext>
                    </a:extLst>
                  </pic:spPr>
                </pic:pic>
              </a:graphicData>
            </a:graphic>
          </wp:inline>
        </w:drawing>
      </w:r>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 </w:t>
      </w:r>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Está relacionada al aporte energético abarcando 2 conceptos: </w:t>
      </w:r>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 </w:t>
      </w:r>
    </w:p>
    <w:p w:rsidR="00BB0954" w:rsidRPr="00BB0954" w:rsidRDefault="00BB0954" w:rsidP="00BB0954">
      <w:pPr>
        <w:pStyle w:val="Prrafodelista"/>
        <w:numPr>
          <w:ilvl w:val="0"/>
          <w:numId w:val="1"/>
        </w:numPr>
        <w:jc w:val="both"/>
        <w:rPr>
          <w:rFonts w:ascii="Arial" w:hAnsi="Arial" w:cs="Arial"/>
          <w:sz w:val="24"/>
          <w:szCs w:val="24"/>
        </w:rPr>
      </w:pPr>
      <w:r w:rsidRPr="00BB0954">
        <w:rPr>
          <w:rFonts w:ascii="Arial" w:hAnsi="Arial" w:cs="Arial"/>
          <w:sz w:val="24"/>
          <w:szCs w:val="24"/>
        </w:rPr>
        <w:t xml:space="preserve">Valor calórico total (VCT) que hacer referencia a los nutrimentos que proporcionan calor y energía, y  </w:t>
      </w:r>
    </w:p>
    <w:p w:rsidR="00BB0954" w:rsidRPr="00BB0954" w:rsidRDefault="00BB0954" w:rsidP="00BB0954">
      <w:pPr>
        <w:ind w:firstLine="72"/>
        <w:jc w:val="both"/>
        <w:rPr>
          <w:rFonts w:ascii="Arial" w:hAnsi="Arial" w:cs="Arial"/>
          <w:sz w:val="24"/>
          <w:szCs w:val="24"/>
        </w:rPr>
      </w:pPr>
    </w:p>
    <w:p w:rsidR="00BB0954" w:rsidRPr="00BB0954" w:rsidRDefault="00BB0954" w:rsidP="00BB0954">
      <w:pPr>
        <w:pStyle w:val="Prrafodelista"/>
        <w:numPr>
          <w:ilvl w:val="0"/>
          <w:numId w:val="1"/>
        </w:numPr>
        <w:jc w:val="both"/>
        <w:rPr>
          <w:rFonts w:ascii="Arial" w:hAnsi="Arial" w:cs="Arial"/>
          <w:sz w:val="24"/>
          <w:szCs w:val="24"/>
        </w:rPr>
      </w:pPr>
      <w:r w:rsidRPr="00BB0954">
        <w:rPr>
          <w:rFonts w:ascii="Arial" w:hAnsi="Arial" w:cs="Arial"/>
          <w:sz w:val="24"/>
          <w:szCs w:val="24"/>
        </w:rPr>
        <w:t xml:space="preserve">Balance, que hace referencia al equilibrio que debe haber entre los ingresos y el gasto energético del organismo. </w:t>
      </w:r>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 </w:t>
      </w:r>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 </w:t>
      </w:r>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  </w:t>
      </w:r>
    </w:p>
    <w:p w:rsidR="00BB0954" w:rsidRPr="00BB0954" w:rsidRDefault="00BB0954" w:rsidP="00BB0954">
      <w:pPr>
        <w:jc w:val="both"/>
        <w:rPr>
          <w:rFonts w:ascii="Arial" w:hAnsi="Arial" w:cs="Arial"/>
          <w:sz w:val="24"/>
          <w:szCs w:val="24"/>
        </w:rPr>
      </w:pPr>
      <w:r w:rsidRPr="00BB0954">
        <w:rPr>
          <w:rFonts w:ascii="Arial" w:hAnsi="Arial" w:cs="Arial"/>
          <w:sz w:val="24"/>
          <w:szCs w:val="24"/>
        </w:rPr>
        <w:lastRenderedPageBreak/>
        <w:t xml:space="preserve">De acuerdo a esta Ley, un régimen de alimentación puede tener las siguientes características (Fig. 5):  </w:t>
      </w:r>
    </w:p>
    <w:p w:rsidR="00BB0954" w:rsidRPr="00BB0954" w:rsidRDefault="00BB0954" w:rsidP="00BB0954">
      <w:pPr>
        <w:jc w:val="center"/>
        <w:rPr>
          <w:rFonts w:ascii="Arial" w:hAnsi="Arial" w:cs="Arial"/>
          <w:sz w:val="24"/>
          <w:szCs w:val="24"/>
        </w:rPr>
      </w:pPr>
      <w:r>
        <w:rPr>
          <w:noProof/>
          <w:lang w:eastAsia="es-MX"/>
        </w:rPr>
        <w:drawing>
          <wp:inline distT="0" distB="0" distL="0" distR="0" wp14:anchorId="12ABA0B9" wp14:editId="3F777709">
            <wp:extent cx="4800600" cy="26114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996" t="27126" r="19348" b="12163"/>
                    <a:stretch/>
                  </pic:blipFill>
                  <pic:spPr bwMode="auto">
                    <a:xfrm>
                      <a:off x="0" y="0"/>
                      <a:ext cx="4803005" cy="2612746"/>
                    </a:xfrm>
                    <a:prstGeom prst="rect">
                      <a:avLst/>
                    </a:prstGeom>
                    <a:ln>
                      <a:noFill/>
                    </a:ln>
                    <a:extLst>
                      <a:ext uri="{53640926-AAD7-44D8-BBD7-CCE9431645EC}">
                        <a14:shadowObscured xmlns:a14="http://schemas.microsoft.com/office/drawing/2010/main"/>
                      </a:ext>
                    </a:extLst>
                  </pic:spPr>
                </pic:pic>
              </a:graphicData>
            </a:graphic>
          </wp:inline>
        </w:drawing>
      </w:r>
    </w:p>
    <w:p w:rsidR="00BB0954" w:rsidRPr="00BB0954" w:rsidRDefault="00BB0954" w:rsidP="00BB0954">
      <w:pPr>
        <w:jc w:val="center"/>
        <w:rPr>
          <w:rFonts w:ascii="Arial" w:hAnsi="Arial" w:cs="Arial"/>
          <w:sz w:val="24"/>
          <w:szCs w:val="24"/>
        </w:rPr>
      </w:pPr>
      <w:r w:rsidRPr="00BB0954">
        <w:rPr>
          <w:rFonts w:ascii="Arial" w:hAnsi="Arial" w:cs="Arial"/>
          <w:sz w:val="24"/>
          <w:szCs w:val="24"/>
        </w:rPr>
        <w:t>Figura 5. Características de la ley de la cantidad</w:t>
      </w:r>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 </w:t>
      </w:r>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 </w:t>
      </w:r>
    </w:p>
    <w:p w:rsidR="00BB0954" w:rsidRPr="00BB0954" w:rsidRDefault="00BB0954" w:rsidP="00BB0954">
      <w:pPr>
        <w:jc w:val="center"/>
        <w:rPr>
          <w:rFonts w:ascii="Arial" w:hAnsi="Arial" w:cs="Arial"/>
          <w:b/>
          <w:sz w:val="28"/>
          <w:szCs w:val="24"/>
        </w:rPr>
      </w:pPr>
      <w:r w:rsidRPr="00BB0954">
        <w:rPr>
          <w:rFonts w:ascii="Arial" w:hAnsi="Arial" w:cs="Arial"/>
          <w:b/>
          <w:sz w:val="28"/>
          <w:szCs w:val="24"/>
        </w:rPr>
        <w:t>Segunda. Ley de la calidad</w:t>
      </w:r>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 </w:t>
      </w:r>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La ley de la calidad, menciona que: </w:t>
      </w:r>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 </w:t>
      </w:r>
    </w:p>
    <w:p w:rsidR="00BB0954" w:rsidRPr="00BB0954" w:rsidRDefault="00BB0954" w:rsidP="00BB0954">
      <w:pPr>
        <w:jc w:val="both"/>
        <w:rPr>
          <w:rFonts w:ascii="Arial" w:hAnsi="Arial" w:cs="Arial"/>
          <w:b/>
          <w:i/>
          <w:sz w:val="24"/>
          <w:szCs w:val="24"/>
        </w:rPr>
      </w:pPr>
      <w:r w:rsidRPr="00BB0954">
        <w:rPr>
          <w:rFonts w:ascii="Arial" w:hAnsi="Arial" w:cs="Arial"/>
          <w:sz w:val="24"/>
          <w:szCs w:val="24"/>
        </w:rPr>
        <w:t xml:space="preserve"> </w:t>
      </w:r>
      <w:r w:rsidRPr="00BB0954">
        <w:rPr>
          <w:rFonts w:ascii="Arial" w:hAnsi="Arial" w:cs="Arial"/>
          <w:b/>
          <w:i/>
          <w:sz w:val="24"/>
          <w:szCs w:val="24"/>
        </w:rPr>
        <w:t xml:space="preserve">El régimen alimentario será completo en su composición para ofrecer al organismo, todas las sustancias que lo integran. </w:t>
      </w:r>
    </w:p>
    <w:p w:rsidR="00BB0954" w:rsidRPr="00BB0954" w:rsidRDefault="00BB0954" w:rsidP="00BB0954">
      <w:pPr>
        <w:jc w:val="both"/>
        <w:rPr>
          <w:rFonts w:ascii="Arial" w:hAnsi="Arial" w:cs="Arial"/>
          <w:sz w:val="24"/>
          <w:szCs w:val="24"/>
        </w:rPr>
      </w:pPr>
    </w:p>
    <w:p w:rsidR="00BB0954" w:rsidRPr="00BB0954" w:rsidRDefault="00BB0954" w:rsidP="00BB0954">
      <w:pPr>
        <w:jc w:val="both"/>
        <w:rPr>
          <w:rFonts w:ascii="Arial" w:hAnsi="Arial" w:cs="Arial"/>
          <w:sz w:val="24"/>
          <w:szCs w:val="24"/>
        </w:rPr>
      </w:pPr>
      <w:r>
        <w:rPr>
          <w:rFonts w:ascii="Arial" w:hAnsi="Arial" w:cs="Arial"/>
          <w:sz w:val="24"/>
          <w:szCs w:val="24"/>
        </w:rPr>
        <w:t>En</w:t>
      </w:r>
      <w:r w:rsidRPr="00BB0954">
        <w:rPr>
          <w:rFonts w:ascii="Arial" w:hAnsi="Arial" w:cs="Arial"/>
          <w:sz w:val="24"/>
          <w:szCs w:val="24"/>
        </w:rPr>
        <w:t xml:space="preserve"> la unidad 2, el organismo requiere nutrimentos para su adecuado funcionamiento, la cantidad en que son requeridos es muy variable, pero deben estar presentes en los alimentos a consumir. </w:t>
      </w:r>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 De acuerdo a la calidad de los nutrimentos en los alimentos, un régimen se puede clasificar en (Fig. 6): </w:t>
      </w:r>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 </w:t>
      </w:r>
    </w:p>
    <w:p w:rsidR="00BB0954" w:rsidRPr="00BB0954" w:rsidRDefault="00BB0954" w:rsidP="00BB0954">
      <w:pPr>
        <w:jc w:val="both"/>
        <w:rPr>
          <w:rFonts w:ascii="Arial" w:hAnsi="Arial" w:cs="Arial"/>
          <w:sz w:val="24"/>
          <w:szCs w:val="24"/>
        </w:rPr>
      </w:pPr>
    </w:p>
    <w:p w:rsidR="00BB0954" w:rsidRPr="00BB0954" w:rsidRDefault="00BB0954" w:rsidP="00BB0954">
      <w:pPr>
        <w:jc w:val="both"/>
        <w:rPr>
          <w:rFonts w:ascii="Arial" w:hAnsi="Arial" w:cs="Arial"/>
          <w:sz w:val="24"/>
          <w:szCs w:val="24"/>
        </w:rPr>
      </w:pPr>
    </w:p>
    <w:p w:rsidR="00BB0954" w:rsidRPr="00BB0954" w:rsidRDefault="00BB0954" w:rsidP="00BB0954">
      <w:pPr>
        <w:jc w:val="center"/>
        <w:rPr>
          <w:rFonts w:ascii="Arial" w:hAnsi="Arial" w:cs="Arial"/>
          <w:sz w:val="24"/>
          <w:szCs w:val="24"/>
        </w:rPr>
      </w:pPr>
      <w:r>
        <w:rPr>
          <w:noProof/>
          <w:lang w:eastAsia="es-MX"/>
        </w:rPr>
        <w:lastRenderedPageBreak/>
        <w:drawing>
          <wp:inline distT="0" distB="0" distL="0" distR="0" wp14:anchorId="12577861" wp14:editId="0CF964EA">
            <wp:extent cx="4393409" cy="268986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145" t="22476" r="24508" b="11884"/>
                    <a:stretch/>
                  </pic:blipFill>
                  <pic:spPr bwMode="auto">
                    <a:xfrm>
                      <a:off x="0" y="0"/>
                      <a:ext cx="4398491" cy="2692971"/>
                    </a:xfrm>
                    <a:prstGeom prst="rect">
                      <a:avLst/>
                    </a:prstGeom>
                    <a:ln>
                      <a:noFill/>
                    </a:ln>
                    <a:extLst>
                      <a:ext uri="{53640926-AAD7-44D8-BBD7-CCE9431645EC}">
                        <a14:shadowObscured xmlns:a14="http://schemas.microsoft.com/office/drawing/2010/main"/>
                      </a:ext>
                    </a:extLst>
                  </pic:spPr>
                </pic:pic>
              </a:graphicData>
            </a:graphic>
          </wp:inline>
        </w:drawing>
      </w:r>
    </w:p>
    <w:p w:rsidR="00BB0954" w:rsidRPr="00BB0954" w:rsidRDefault="00BB0954" w:rsidP="00BB0954">
      <w:pPr>
        <w:jc w:val="center"/>
        <w:rPr>
          <w:rFonts w:ascii="Arial" w:hAnsi="Arial" w:cs="Arial"/>
          <w:b/>
          <w:szCs w:val="24"/>
        </w:rPr>
      </w:pPr>
      <w:r w:rsidRPr="00BB0954">
        <w:rPr>
          <w:rFonts w:ascii="Arial" w:hAnsi="Arial" w:cs="Arial"/>
          <w:b/>
          <w:szCs w:val="24"/>
        </w:rPr>
        <w:t>Tercera. Ley de la armonía</w:t>
      </w:r>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 </w:t>
      </w:r>
    </w:p>
    <w:p w:rsidR="00BB0954" w:rsidRPr="00BB0954" w:rsidRDefault="00BB0954" w:rsidP="00BB0954">
      <w:pPr>
        <w:jc w:val="center"/>
        <w:rPr>
          <w:rFonts w:ascii="Arial" w:hAnsi="Arial" w:cs="Arial"/>
          <w:sz w:val="24"/>
          <w:szCs w:val="24"/>
        </w:rPr>
      </w:pPr>
      <w:r>
        <w:rPr>
          <w:noProof/>
          <w:lang w:eastAsia="es-MX"/>
        </w:rPr>
        <w:drawing>
          <wp:inline distT="0" distB="0" distL="0" distR="0" wp14:anchorId="50096EDB" wp14:editId="138B4342">
            <wp:extent cx="5379013" cy="3314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145" t="26350" r="18941" b="1056"/>
                    <a:stretch/>
                  </pic:blipFill>
                  <pic:spPr bwMode="auto">
                    <a:xfrm>
                      <a:off x="0" y="0"/>
                      <a:ext cx="5391490" cy="3322389"/>
                    </a:xfrm>
                    <a:prstGeom prst="rect">
                      <a:avLst/>
                    </a:prstGeom>
                    <a:ln>
                      <a:noFill/>
                    </a:ln>
                    <a:extLst>
                      <a:ext uri="{53640926-AAD7-44D8-BBD7-CCE9431645EC}">
                        <a14:shadowObscured xmlns:a14="http://schemas.microsoft.com/office/drawing/2010/main"/>
                      </a:ext>
                    </a:extLst>
                  </pic:spPr>
                </pic:pic>
              </a:graphicData>
            </a:graphic>
          </wp:inline>
        </w:drawing>
      </w:r>
    </w:p>
    <w:p w:rsidR="00BB0954" w:rsidRPr="00BB0954" w:rsidRDefault="00BB0954" w:rsidP="00BB0954">
      <w:pPr>
        <w:jc w:val="both"/>
        <w:rPr>
          <w:rFonts w:ascii="Arial" w:hAnsi="Arial" w:cs="Arial"/>
          <w:sz w:val="24"/>
          <w:szCs w:val="24"/>
        </w:rPr>
      </w:pPr>
    </w:p>
    <w:p w:rsidR="00BB0954" w:rsidRDefault="00BB0954" w:rsidP="00BB0954">
      <w:pPr>
        <w:jc w:val="both"/>
        <w:rPr>
          <w:rFonts w:ascii="Arial" w:hAnsi="Arial" w:cs="Arial"/>
          <w:sz w:val="24"/>
          <w:szCs w:val="24"/>
        </w:rPr>
      </w:pPr>
    </w:p>
    <w:p w:rsidR="00BB0954" w:rsidRDefault="00BB0954" w:rsidP="00BB0954">
      <w:pPr>
        <w:jc w:val="both"/>
        <w:rPr>
          <w:rFonts w:ascii="Arial" w:hAnsi="Arial" w:cs="Arial"/>
          <w:sz w:val="24"/>
          <w:szCs w:val="24"/>
        </w:rPr>
      </w:pPr>
    </w:p>
    <w:p w:rsidR="00BB0954" w:rsidRDefault="00BB0954" w:rsidP="00BB0954">
      <w:pPr>
        <w:jc w:val="both"/>
        <w:rPr>
          <w:rFonts w:ascii="Arial" w:hAnsi="Arial" w:cs="Arial"/>
          <w:sz w:val="24"/>
          <w:szCs w:val="24"/>
        </w:rPr>
      </w:pPr>
    </w:p>
    <w:p w:rsidR="00BB0954" w:rsidRDefault="00BB0954" w:rsidP="00BB0954">
      <w:pPr>
        <w:jc w:val="both"/>
        <w:rPr>
          <w:rFonts w:ascii="Arial" w:hAnsi="Arial" w:cs="Arial"/>
          <w:sz w:val="24"/>
          <w:szCs w:val="24"/>
        </w:rPr>
      </w:pPr>
    </w:p>
    <w:p w:rsidR="00BB0954" w:rsidRPr="00BB0954" w:rsidRDefault="00BB0954" w:rsidP="00BB0954">
      <w:pPr>
        <w:jc w:val="center"/>
        <w:rPr>
          <w:rFonts w:ascii="Arial" w:hAnsi="Arial" w:cs="Arial"/>
          <w:b/>
          <w:sz w:val="28"/>
          <w:szCs w:val="24"/>
        </w:rPr>
      </w:pPr>
      <w:r w:rsidRPr="00BB0954">
        <w:rPr>
          <w:rFonts w:ascii="Arial" w:hAnsi="Arial" w:cs="Arial"/>
          <w:b/>
          <w:sz w:val="28"/>
          <w:szCs w:val="24"/>
        </w:rPr>
        <w:lastRenderedPageBreak/>
        <w:t>Cuarta. Ley de la adecuación</w:t>
      </w:r>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 </w:t>
      </w:r>
    </w:p>
    <w:p w:rsidR="00BB0954" w:rsidRPr="00BB0954" w:rsidRDefault="00BB0954" w:rsidP="00BB0954">
      <w:pPr>
        <w:jc w:val="both"/>
        <w:rPr>
          <w:rFonts w:ascii="Arial" w:hAnsi="Arial" w:cs="Arial"/>
          <w:sz w:val="24"/>
          <w:szCs w:val="24"/>
        </w:rPr>
      </w:pPr>
      <w:r>
        <w:rPr>
          <w:noProof/>
          <w:lang w:eastAsia="es-MX"/>
        </w:rPr>
        <w:drawing>
          <wp:inline distT="0" distB="0" distL="0" distR="0" wp14:anchorId="1D040265" wp14:editId="45216C9B">
            <wp:extent cx="5615940" cy="2576457"/>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651" t="44176" r="18398"/>
                    <a:stretch/>
                  </pic:blipFill>
                  <pic:spPr bwMode="auto">
                    <a:xfrm>
                      <a:off x="0" y="0"/>
                      <a:ext cx="5625218" cy="2580713"/>
                    </a:xfrm>
                    <a:prstGeom prst="rect">
                      <a:avLst/>
                    </a:prstGeom>
                    <a:ln>
                      <a:noFill/>
                    </a:ln>
                    <a:extLst>
                      <a:ext uri="{53640926-AAD7-44D8-BBD7-CCE9431645EC}">
                        <a14:shadowObscured xmlns:a14="http://schemas.microsoft.com/office/drawing/2010/main"/>
                      </a:ext>
                    </a:extLst>
                  </pic:spPr>
                </pic:pic>
              </a:graphicData>
            </a:graphic>
          </wp:inline>
        </w:drawing>
      </w:r>
      <w:r w:rsidRPr="00BB0954">
        <w:rPr>
          <w:rFonts w:ascii="Arial" w:hAnsi="Arial" w:cs="Arial"/>
          <w:sz w:val="24"/>
          <w:szCs w:val="24"/>
        </w:rPr>
        <w:t xml:space="preserve"> </w:t>
      </w:r>
    </w:p>
    <w:p w:rsidR="00BB0954" w:rsidRPr="00BB0954" w:rsidRDefault="00BB0954" w:rsidP="00BB0954">
      <w:pPr>
        <w:jc w:val="both"/>
        <w:rPr>
          <w:rFonts w:ascii="Arial" w:hAnsi="Arial" w:cs="Arial"/>
          <w:sz w:val="24"/>
          <w:szCs w:val="24"/>
        </w:rPr>
      </w:pPr>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 </w:t>
      </w:r>
    </w:p>
    <w:p w:rsidR="00BB0954" w:rsidRPr="00BB0954" w:rsidRDefault="00BB0954" w:rsidP="00BB0954">
      <w:pPr>
        <w:jc w:val="both"/>
        <w:rPr>
          <w:rFonts w:ascii="Arial" w:hAnsi="Arial" w:cs="Arial"/>
          <w:sz w:val="24"/>
          <w:szCs w:val="24"/>
        </w:rPr>
      </w:pPr>
      <w:r>
        <w:rPr>
          <w:noProof/>
          <w:lang w:eastAsia="es-MX"/>
        </w:rPr>
        <w:drawing>
          <wp:inline distT="0" distB="0" distL="0" distR="0" wp14:anchorId="13C48655" wp14:editId="507CBF1A">
            <wp:extent cx="5539740" cy="2626708"/>
            <wp:effectExtent l="0" t="0" r="381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230" t="22476" r="19348" b="23014"/>
                    <a:stretch/>
                  </pic:blipFill>
                  <pic:spPr bwMode="auto">
                    <a:xfrm>
                      <a:off x="0" y="0"/>
                      <a:ext cx="5555927" cy="2634383"/>
                    </a:xfrm>
                    <a:prstGeom prst="rect">
                      <a:avLst/>
                    </a:prstGeom>
                    <a:ln>
                      <a:noFill/>
                    </a:ln>
                    <a:extLst>
                      <a:ext uri="{53640926-AAD7-44D8-BBD7-CCE9431645EC}">
                        <a14:shadowObscured xmlns:a14="http://schemas.microsoft.com/office/drawing/2010/main"/>
                      </a:ext>
                    </a:extLst>
                  </pic:spPr>
                </pic:pic>
              </a:graphicData>
            </a:graphic>
          </wp:inline>
        </w:drawing>
      </w:r>
      <w:r w:rsidRPr="00BB0954">
        <w:rPr>
          <w:rFonts w:ascii="Arial" w:hAnsi="Arial" w:cs="Arial"/>
          <w:sz w:val="24"/>
          <w:szCs w:val="24"/>
        </w:rPr>
        <w:t xml:space="preserve"> </w:t>
      </w:r>
    </w:p>
    <w:p w:rsidR="00BB0954" w:rsidRDefault="00BB0954" w:rsidP="00BB0954">
      <w:pPr>
        <w:jc w:val="both"/>
        <w:rPr>
          <w:rFonts w:ascii="Arial" w:hAnsi="Arial" w:cs="Arial"/>
          <w:sz w:val="24"/>
          <w:szCs w:val="24"/>
        </w:rPr>
      </w:pPr>
      <w:r w:rsidRPr="00BB0954">
        <w:rPr>
          <w:rFonts w:ascii="Arial" w:hAnsi="Arial" w:cs="Arial"/>
          <w:sz w:val="24"/>
          <w:szCs w:val="24"/>
        </w:rPr>
        <w:t xml:space="preserve">Estas leyes deben cumplirse para incidir positivamente en el estado de salud de los individuos, para lo cual es importante conocer las necesidades nutrimentales de los mismos, por lo que el nutriólogo debe hacer la una correcta evaluación y cálculo de sus necesidades y requerimientos, lo que aprenderás a realizar en asignaturas más adelante. </w:t>
      </w:r>
    </w:p>
    <w:p w:rsidR="00BB0954" w:rsidRDefault="00BB0954" w:rsidP="00BB0954">
      <w:pPr>
        <w:pStyle w:val="Bibliografa"/>
        <w:ind w:left="720" w:hanging="720"/>
        <w:rPr>
          <w:noProof/>
        </w:rPr>
      </w:pPr>
      <w:r w:rsidRPr="00AF53B7">
        <w:rPr>
          <w:rFonts w:ascii="Arial" w:eastAsia="Times New Roman" w:hAnsi="Arial" w:cs="Arial"/>
          <w:noProof/>
          <w:sz w:val="24"/>
          <w:szCs w:val="24"/>
          <w:lang w:eastAsia="es-MX"/>
        </w:rPr>
        <w:lastRenderedPageBreak/>
        <mc:AlternateContent>
          <mc:Choice Requires="wps">
            <w:drawing>
              <wp:anchor distT="0" distB="0" distL="114300" distR="114300" simplePos="0" relativeHeight="251659264" behindDoc="0" locked="0" layoutInCell="1" allowOverlap="1" wp14:anchorId="2910148C" wp14:editId="68F113C0">
                <wp:simplePos x="0" y="0"/>
                <wp:positionH relativeFrom="margin">
                  <wp:posOffset>-144780</wp:posOffset>
                </wp:positionH>
                <wp:positionV relativeFrom="paragraph">
                  <wp:posOffset>331470</wp:posOffset>
                </wp:positionV>
                <wp:extent cx="6080760" cy="321310"/>
                <wp:effectExtent l="0" t="0" r="15240" b="21590"/>
                <wp:wrapThrough wrapText="bothSides">
                  <wp:wrapPolygon edited="0">
                    <wp:start x="0" y="0"/>
                    <wp:lineTo x="0" y="21771"/>
                    <wp:lineTo x="21586" y="21771"/>
                    <wp:lineTo x="21586" y="0"/>
                    <wp:lineTo x="0" y="0"/>
                  </wp:wrapPolygon>
                </wp:wrapThrough>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321310"/>
                        </a:xfrm>
                        <a:prstGeom prst="rect">
                          <a:avLst/>
                        </a:prstGeom>
                        <a:solidFill>
                          <a:schemeClr val="accent5">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BB0954" w:rsidRDefault="00BB0954" w:rsidP="00BB0954">
                            <w:pPr>
                              <w:jc w:val="center"/>
                            </w:pPr>
                            <w:r>
                              <w:rPr>
                                <w:rFonts w:ascii="Arial" w:eastAsia="Times New Roman" w:hAnsi="Arial" w:cs="Arial"/>
                                <w:b/>
                                <w:sz w:val="24"/>
                                <w:szCs w:val="24"/>
                                <w:lang w:eastAsia="es-MX"/>
                              </w:rPr>
                              <w:t>Bibliografía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910148C" id="_x0000_t202" coordsize="21600,21600" o:spt="202" path="m,l,21600r21600,l21600,xe">
                <v:stroke joinstyle="miter"/>
                <v:path gradientshapeok="t" o:connecttype="rect"/>
              </v:shapetype>
              <v:shape id="Cuadro de texto 2" o:spid="_x0000_s1026" type="#_x0000_t202" style="position:absolute;left:0;text-align:left;margin-left:-11.4pt;margin-top:26.1pt;width:478.8pt;height:25.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" fillcolor="#d9e2f3 [664]" strokecolor="#5b9bd5 [3204]" strokeweight=".5pt">
                <v:textbox>
                  <w:txbxContent>
                    <w:p w:rsidR="00BB0954" w:rsidRDefault="00BB0954" w:rsidP="00BB0954">
                      <w:pPr>
                        <w:jc w:val="center"/>
                      </w:pPr>
                      <w:r>
                        <w:rPr>
                          <w:rFonts w:ascii="Arial" w:eastAsia="Times New Roman" w:hAnsi="Arial" w:cs="Arial"/>
                          <w:b/>
                          <w:sz w:val="24"/>
                          <w:szCs w:val="24"/>
                          <w:lang w:eastAsia="es-MX"/>
                        </w:rPr>
                        <w:t>Bibliografía</w:t>
                      </w:r>
                    </w:p>
                  </w:txbxContent>
                </v:textbox>
                <w10:wrap type="through" anchorx="margin"/>
              </v:shape>
            </w:pict>
          </mc:Fallback>
        </mc:AlternateContent>
      </w:r>
      <w:r>
        <w:rPr>
          <w:color w:val="FFFFFF" w:themeColor="background1"/>
        </w:rPr>
        <w:fldChar w:fldCharType="begin"/>
      </w:r>
      <w:r>
        <w:rPr>
          <w:color w:val="FFFFFF" w:themeColor="background1"/>
        </w:rPr>
        <w:instrText xml:space="preserve"> BIBLIOGRAPHY  \l 2058 </w:instrText>
      </w:r>
      <w:r>
        <w:rPr>
          <w:color w:val="FFFFFF" w:themeColor="background1"/>
        </w:rPr>
        <w:fldChar w:fldCharType="separate"/>
      </w:r>
    </w:p>
    <w:p w:rsidR="00BB0954" w:rsidRPr="003E6AAC" w:rsidRDefault="00BB0954" w:rsidP="00BB0954">
      <w:pPr>
        <w:pStyle w:val="Bibliografa"/>
        <w:numPr>
          <w:ilvl w:val="0"/>
          <w:numId w:val="3"/>
        </w:numPr>
        <w:jc w:val="both"/>
        <w:rPr>
          <w:rFonts w:ascii="Arial" w:hAnsi="Arial" w:cs="Arial"/>
          <w:noProof/>
        </w:rPr>
      </w:pPr>
      <w:r w:rsidRPr="003E6AAC">
        <w:rPr>
          <w:rFonts w:ascii="Arial" w:hAnsi="Arial" w:cs="Arial"/>
          <w:noProof/>
        </w:rPr>
        <w:t xml:space="preserve">UnADM. (2018). </w:t>
      </w:r>
      <w:r w:rsidRPr="003E6AAC">
        <w:rPr>
          <w:rFonts w:ascii="Arial" w:hAnsi="Arial" w:cs="Arial"/>
          <w:i/>
          <w:iCs/>
          <w:noProof/>
        </w:rPr>
        <w:t>Unidad 3. Principios básicos de una alimentación correcta.</w:t>
      </w:r>
      <w:r w:rsidRPr="003E6AAC">
        <w:rPr>
          <w:rFonts w:ascii="Arial" w:hAnsi="Arial" w:cs="Arial"/>
          <w:noProof/>
        </w:rPr>
        <w:t xml:space="preserve"> Ciudad de México: Universidad Abierta y a Distancia de México.</w:t>
      </w:r>
    </w:p>
    <w:p w:rsidR="00BB0954" w:rsidRPr="00BB0954" w:rsidRDefault="00BB0954" w:rsidP="00BB0954">
      <w:pPr>
        <w:jc w:val="both"/>
        <w:rPr>
          <w:rFonts w:ascii="Arial" w:hAnsi="Arial" w:cs="Arial"/>
          <w:sz w:val="24"/>
          <w:szCs w:val="24"/>
        </w:rPr>
      </w:pPr>
      <w:r>
        <w:rPr>
          <w:color w:val="FFFFFF" w:themeColor="background1"/>
        </w:rPr>
        <w:fldChar w:fldCharType="end"/>
      </w:r>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 </w:t>
      </w:r>
    </w:p>
    <w:p w:rsidR="00BB0954" w:rsidRPr="00BB0954" w:rsidRDefault="00BB0954" w:rsidP="00BB0954">
      <w:pPr>
        <w:jc w:val="both"/>
        <w:rPr>
          <w:rFonts w:ascii="Arial" w:hAnsi="Arial" w:cs="Arial"/>
          <w:sz w:val="24"/>
          <w:szCs w:val="24"/>
        </w:rPr>
      </w:pPr>
      <w:r w:rsidRPr="00BB0954">
        <w:rPr>
          <w:rFonts w:ascii="Arial" w:hAnsi="Arial" w:cs="Arial"/>
          <w:sz w:val="24"/>
          <w:szCs w:val="24"/>
        </w:rPr>
        <w:t xml:space="preserve"> </w:t>
      </w:r>
    </w:p>
    <w:sectPr w:rsidR="00BB0954" w:rsidRPr="00BB095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4F5B4F"/>
    <w:multiLevelType w:val="hybridMultilevel"/>
    <w:tmpl w:val="632062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3C81A79"/>
    <w:multiLevelType w:val="hybridMultilevel"/>
    <w:tmpl w:val="9ACAC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F1A6A57"/>
    <w:multiLevelType w:val="hybridMultilevel"/>
    <w:tmpl w:val="97ECD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954"/>
    <w:rsid w:val="00BB0954"/>
    <w:rsid w:val="00E332F2"/>
    <w:rsid w:val="00FD5B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34024"/>
  <w15:chartTrackingRefBased/>
  <w15:docId w15:val="{660D653A-77D7-4F80-9AAF-F7AC4CCAB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B0954"/>
    <w:pPr>
      <w:ind w:left="720"/>
      <w:contextualSpacing/>
    </w:pPr>
  </w:style>
  <w:style w:type="paragraph" w:styleId="Bibliografa">
    <w:name w:val="Bibliography"/>
    <w:basedOn w:val="Normal"/>
    <w:next w:val="Normal"/>
    <w:uiPriority w:val="37"/>
    <w:unhideWhenUsed/>
    <w:rsid w:val="00BB09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Paz16</b:Tag>
    <b:SourceType>DocumentFromInternetSite</b:SourceType>
    <b:Guid>{8B8A58D4-745E-406D-B1C4-B662A00A9C09}</b:Guid>
    <b:Title>Definición ABC</b:Title>
    <b:Year>2016</b:Year>
    <b:Month>06</b:Month>
    <b:Day>28</b:Day>
    <b:URL>https://goo.gl/R2HgCo</b:URL>
    <b:Author>
      <b:Author>
        <b:NameList>
          <b:Person>
            <b:Last> Paz de Andrade</b:Last>
            <b:First>Maria</b:First>
          </b:Person>
        </b:NameList>
      </b:Author>
    </b:Author>
    <b:RefOrder>3</b:RefOrder>
  </b:Source>
  <b:Source>
    <b:Tag>Enc16</b:Tag>
    <b:SourceType>DocumentFromInternetSite</b:SourceType>
    <b:Guid>{BC641827-47F1-4CDF-94A0-2B9A38B5B4BD}</b:Guid>
    <b:Title>Enciclopedia Salud.com</b:Title>
    <b:Year>2016</b:Year>
    <b:Month>02</b:Month>
    <b:Day>16</b:Day>
    <b:URL>https://goo.gl/tkDQmT</b:URL>
    <b:RefOrder>4</b:RefOrder>
  </b:Source>
  <b:Source>
    <b:Tag>Bem09</b:Tag>
    <b:SourceType>InternetSite</b:SourceType>
    <b:Guid>{F482AE7F-6A4F-4267-ADC8-D09093FC6D76}</b:Guid>
    <b:Title>Definición ABC</b:Title>
    <b:Year>2009</b:Year>
    <b:Month>07</b:Month>
    <b:Day>12</b:Day>
    <b:URL>https://goo.gl/jU8oPW</b:URL>
    <b:Author>
      <b:Author>
        <b:NameList>
          <b:Person>
            <b:Last>Bembibre</b:Last>
            <b:First>Cecilia</b:First>
          </b:Person>
        </b:NameList>
      </b:Author>
    </b:Author>
    <b:RefOrder>5</b:RefOrder>
  </b:Source>
  <b:Source>
    <b:Tag>Bou01</b:Tag>
    <b:SourceType>JournalArticle</b:SourceType>
    <b:Guid>{466DB5AE-0348-4987-AAFD-56B71FD21067}</b:Guid>
    <b:Title>Glosario de Términos para la orientación alimentaria</b:Title>
    <b:Year>2001</b:Year>
    <b:Author>
      <b:Author>
        <b:NameList>
          <b:Person>
            <b:Last>Bourgues Rodríguez</b:Last>
            <b:First>Héctor</b:First>
          </b:Person>
        </b:NameList>
      </b:Author>
    </b:Author>
    <b:JournalName>Cuadernos de Nutrición</b:JournalName>
    <b:Pages>44</b:Pages>
    <b:City>México</b:City>
    <b:Month>enero/febrero</b:Month>
    <b:Volume>24</b:Volume>
    <b:Issue>1</b:Issue>
    <b:ShortTitle>Orientación Alimentaria: glosario de términos</b:ShortTitle>
    <b:RefOrder>6</b:RefOrder>
  </b:Source>
  <b:Source>
    <b:Tag>FAO92</b:Tag>
    <b:SourceType>InternetSite</b:SourceType>
    <b:Guid>{C4BD5B9C-6889-4518-A7CC-1821AAE9AC3D}</b:Guid>
    <b:Author>
      <b:Author>
        <b:NameList>
          <b:Person>
            <b:Last>FAO/OMS</b:Last>
          </b:Person>
        </b:NameList>
      </b:Author>
    </b:Author>
    <b:Title>Glorario de Términos</b:Title>
    <b:Year>1992</b:Year>
    <b:URL>www.fao.org/docrep/014/am401s/am401s07.pdf</b:URL>
    <b:RefOrder>7</b:RefOrder>
  </b:Source>
  <b:Source>
    <b:Tag>OMS181</b:Tag>
    <b:SourceType>InternetSite</b:SourceType>
    <b:Guid>{C70B474F-8FFE-44F7-8597-9700FA81E449}</b:Guid>
    <b:Title>OMS</b:Title>
    <b:Year>2018</b:Year>
    <b:Month>enero</b:Month>
    <b:Day>30</b:Day>
    <b:URL>http://www.who.int/topics/nutrition/es/</b:URL>
    <b:RefOrder>8</b:RefOrder>
  </b:Source>
  <b:Source>
    <b:Tag>Her16</b:Tag>
    <b:SourceType>DocumentFromInternetSite</b:SourceType>
    <b:Guid>{5F7117DC-8D8F-4A7A-88E2-B13D71586B7F}</b:Guid>
    <b:Title>Academia del Bienestar</b:Title>
    <b:Year>2016</b:Year>
    <b:Month>enero</b:Month>
    <b:Day>21</b:Day>
    <b:URL>http://academiadelbienestar.cl/bioindividualidad/</b:URL>
    <b:Author>
      <b:Author>
        <b:NameList>
          <b:Person>
            <b:Last>Herrera</b:Last>
            <b:First>Esmeralda</b:First>
          </b:Person>
        </b:NameList>
      </b:Author>
    </b:Author>
    <b:RefOrder>1</b:RefOrder>
  </b:Source>
  <b:Source>
    <b:Tag>UnA182</b:Tag>
    <b:SourceType>Report</b:SourceType>
    <b:Guid>{7F7D1B00-A518-4691-BC56-8F91D225A348}</b:Guid>
    <b:Title>Unidad 3. Principios básicos de una alimentación correcta</b:Title>
    <b:Year>2018</b:Year>
    <b:Author>
      <b:Author>
        <b:NameList>
          <b:Person>
            <b:Last>UnADM</b:Last>
          </b:Person>
        </b:NameList>
      </b:Author>
    </b:Author>
    <b:Publisher>Universidad Abierta y a Distancia de México</b:Publisher>
    <b:City>Ciudad de México</b:City>
    <b:RefOrder>2</b:RefOrder>
  </b:Source>
</b:Sources>
</file>

<file path=customXml/itemProps1.xml><?xml version="1.0" encoding="utf-8"?>
<ds:datastoreItem xmlns:ds="http://schemas.openxmlformats.org/officeDocument/2006/customXml" ds:itemID="{F1E0C01F-547B-4198-B481-B7461CE5E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350</Words>
  <Characters>1929</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cp:revision>
  <dcterms:created xsi:type="dcterms:W3CDTF">2018-03-23T19:38:00Z</dcterms:created>
  <dcterms:modified xsi:type="dcterms:W3CDTF">2018-03-23T19:54:00Z</dcterms:modified>
</cp:coreProperties>
</file>