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09" w:rsidRPr="009F0CDC" w:rsidRDefault="009F0CDC">
      <w:pPr>
        <w:rPr>
          <w:rFonts w:ascii="Times New Roman" w:hAnsi="Times New Roman" w:cs="Times New Roman"/>
          <w:b/>
          <w:sz w:val="28"/>
        </w:rPr>
      </w:pPr>
      <w:r w:rsidRPr="009F0CDC">
        <w:rPr>
          <w:rFonts w:ascii="Times New Roman" w:hAnsi="Times New Roman" w:cs="Times New Roman"/>
          <w:b/>
          <w:sz w:val="28"/>
        </w:rPr>
        <w:t>Complications</w:t>
      </w:r>
    </w:p>
    <w:p w:rsidR="009F0CDC" w:rsidRDefault="009F0CDC">
      <w:pPr>
        <w:rPr>
          <w:rFonts w:ascii="Times New Roman" w:hAnsi="Times New Roman" w:cs="Times New Roman"/>
          <w:sz w:val="24"/>
        </w:rPr>
      </w:pPr>
    </w:p>
    <w:p w:rsidR="009F0CDC" w:rsidRDefault="009F0CDC" w:rsidP="00793C5E">
      <w:pPr>
        <w:pStyle w:val="ListParagraph"/>
        <w:numPr>
          <w:ilvl w:val="0"/>
          <w:numId w:val="1"/>
        </w:numPr>
        <w:spacing w:line="276" w:lineRule="auto"/>
        <w:rPr>
          <w:rFonts w:ascii="Times New Roman" w:hAnsi="Times New Roman" w:cs="Times New Roman"/>
          <w:sz w:val="24"/>
        </w:rPr>
      </w:pPr>
      <w:r w:rsidRPr="00793C5E">
        <w:rPr>
          <w:rFonts w:ascii="Times New Roman" w:hAnsi="Times New Roman" w:cs="Times New Roman"/>
          <w:b/>
          <w:sz w:val="24"/>
        </w:rPr>
        <w:t>Laceration of the medial palmar artery</w:t>
      </w:r>
      <w:r>
        <w:rPr>
          <w:rFonts w:ascii="Times New Roman" w:hAnsi="Times New Roman" w:cs="Times New Roman"/>
          <w:sz w:val="24"/>
        </w:rPr>
        <w:t xml:space="preserve"> is a possible complication with the mid-metacarpal approach of the operation. This is occurs more often when haemostats are used instead of broad-blade butter knives as retractors. They are used because they are much more rigid that haemostats providing better support and manipulation of the tendon. Furthermore, their flat surfaces function to prevent the laceration of the important blood vessel.</w:t>
      </w:r>
      <w:bookmarkStart w:id="0" w:name="_GoBack"/>
      <w:bookmarkEnd w:id="0"/>
    </w:p>
    <w:p w:rsidR="00793C5E" w:rsidRDefault="00793C5E" w:rsidP="00793C5E">
      <w:pPr>
        <w:pStyle w:val="ListParagraph"/>
        <w:spacing w:line="276" w:lineRule="auto"/>
        <w:rPr>
          <w:rFonts w:ascii="Times New Roman" w:hAnsi="Times New Roman" w:cs="Times New Roman"/>
          <w:sz w:val="24"/>
        </w:rPr>
      </w:pPr>
    </w:p>
    <w:p w:rsidR="009F0CDC" w:rsidRPr="009F0CDC" w:rsidRDefault="009F0CDC" w:rsidP="00793C5E">
      <w:pPr>
        <w:pStyle w:val="ListParagraph"/>
        <w:numPr>
          <w:ilvl w:val="0"/>
          <w:numId w:val="1"/>
        </w:numPr>
        <w:spacing w:line="276" w:lineRule="auto"/>
        <w:rPr>
          <w:rFonts w:ascii="Times New Roman" w:hAnsi="Times New Roman" w:cs="Times New Roman"/>
          <w:sz w:val="24"/>
        </w:rPr>
      </w:pPr>
      <w:r w:rsidRPr="00793C5E">
        <w:rPr>
          <w:rFonts w:ascii="Times New Roman" w:hAnsi="Times New Roman" w:cs="Times New Roman"/>
          <w:b/>
          <w:sz w:val="24"/>
        </w:rPr>
        <w:t>Thickening of the deep digital flexor tendon</w:t>
      </w:r>
      <w:r>
        <w:rPr>
          <w:rFonts w:ascii="Times New Roman" w:hAnsi="Times New Roman" w:cs="Times New Roman"/>
          <w:sz w:val="24"/>
        </w:rPr>
        <w:t xml:space="preserve"> commonly occurs in the weeks post-surgery. This is due to fibrosis occurring in response to inflammation taking place at the site of incision of the tendon.</w:t>
      </w:r>
    </w:p>
    <w:sectPr w:rsidR="009F0CDC" w:rsidRPr="009F0C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540FB"/>
    <w:multiLevelType w:val="hybridMultilevel"/>
    <w:tmpl w:val="865623CC"/>
    <w:lvl w:ilvl="0" w:tplc="E670E02C">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DC"/>
    <w:rsid w:val="00793C5E"/>
    <w:rsid w:val="009F0CDC"/>
    <w:rsid w:val="00C45A0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74B4-6AE6-40C4-B86E-7F2D3C17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1</cp:revision>
  <dcterms:created xsi:type="dcterms:W3CDTF">2018-10-20T21:58:00Z</dcterms:created>
  <dcterms:modified xsi:type="dcterms:W3CDTF">2018-10-20T22:19:00Z</dcterms:modified>
</cp:coreProperties>
</file>