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FEDE6">
    <v:background id="_x0000_s1025" o:bwmode="white" fillcolor="#efede6">
      <v:fill r:id="rId3" o:title="texture14" type="tile"/>
    </v:background>
  </w:background>
  <w:body>
    <w:p w:rsidR="002B44E7" w:rsidRPr="00345A79" w:rsidRDefault="00A372D4">
      <w:pPr>
        <w:rPr>
          <w:rFonts w:ascii="Gill Sans Ultra Bold Condensed" w:hAnsi="Gill Sans Ultra Bold Condensed"/>
          <w:b/>
          <w:color w:val="8EAADB" w:themeColor="accent1" w:themeTint="99"/>
          <w:sz w:val="36"/>
          <w:szCs w:val="36"/>
        </w:rPr>
      </w:pPr>
      <w:r w:rsidRPr="00345A79">
        <w:rPr>
          <w:rFonts w:ascii="Gill Sans Ultra Bold Condensed" w:hAnsi="Gill Sans Ultra Bold Condensed"/>
          <w:b/>
          <w:color w:val="8EAADB" w:themeColor="accent1" w:themeTint="99"/>
          <w:sz w:val="36"/>
          <w:szCs w:val="36"/>
        </w:rPr>
        <w:t xml:space="preserve">Complications that can occur during </w:t>
      </w:r>
      <w:r w:rsidR="008E1F19" w:rsidRPr="00345A79">
        <w:rPr>
          <w:rFonts w:ascii="Gill Sans Ultra Bold Condensed" w:hAnsi="Gill Sans Ultra Bold Condensed"/>
          <w:b/>
          <w:color w:val="8EAADB" w:themeColor="accent1" w:themeTint="99"/>
          <w:sz w:val="36"/>
          <w:szCs w:val="36"/>
        </w:rPr>
        <w:t xml:space="preserve">monitoring </w:t>
      </w:r>
      <w:bookmarkStart w:id="0" w:name="_GoBack"/>
      <w:bookmarkEnd w:id="0"/>
      <w:r w:rsidR="00345A79">
        <w:rPr>
          <w:rFonts w:ascii="Gill Sans Ultra Bold Condensed" w:hAnsi="Gill Sans Ultra Bold Condensed"/>
          <w:b/>
          <w:color w:val="8EAADB" w:themeColor="accent1" w:themeTint="99"/>
          <w:sz w:val="36"/>
          <w:szCs w:val="36"/>
        </w:rPr>
        <w:t xml:space="preserve"> </w:t>
      </w:r>
      <w:r w:rsidR="00345A79">
        <w:rPr>
          <w:noProof/>
        </w:rPr>
        <w:drawing>
          <wp:inline distT="0" distB="0" distL="0" distR="0">
            <wp:extent cx="2524125" cy="336559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4394" cy="3379283"/>
                    </a:xfrm>
                    <a:prstGeom prst="rect">
                      <a:avLst/>
                    </a:prstGeom>
                    <a:noFill/>
                    <a:ln>
                      <a:noFill/>
                    </a:ln>
                  </pic:spPr>
                </pic:pic>
              </a:graphicData>
            </a:graphic>
          </wp:inline>
        </w:drawing>
      </w:r>
      <w:r w:rsidR="00004113">
        <w:rPr>
          <w:noProof/>
        </w:rPr>
        <w:drawing>
          <wp:inline distT="0" distB="0" distL="0" distR="0">
            <wp:extent cx="2528817" cy="33718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8185" cy="3397675"/>
                    </a:xfrm>
                    <a:prstGeom prst="rect">
                      <a:avLst/>
                    </a:prstGeom>
                    <a:noFill/>
                    <a:ln>
                      <a:noFill/>
                    </a:ln>
                  </pic:spPr>
                </pic:pic>
              </a:graphicData>
            </a:graphic>
          </wp:inline>
        </w:drawing>
      </w:r>
      <w:r w:rsidR="002B44E7">
        <w:rPr>
          <w:rFonts w:ascii="Gill Sans Ultra Bold Condensed" w:hAnsi="Gill Sans Ultra Bold Condensed"/>
          <w:b/>
          <w:color w:val="8EAADB" w:themeColor="accent1" w:themeTint="99"/>
          <w:sz w:val="36"/>
          <w:szCs w:val="36"/>
        </w:rPr>
        <w:t xml:space="preserve">                                                                                  </w:t>
      </w:r>
      <w:r w:rsidR="00B40E86">
        <w:rPr>
          <w:rFonts w:ascii="Gill Sans Ultra Bold Condensed" w:hAnsi="Gill Sans Ultra Bold Condensed"/>
          <w:b/>
          <w:color w:val="8EAADB" w:themeColor="accent1" w:themeTint="99"/>
          <w:sz w:val="36"/>
          <w:szCs w:val="36"/>
        </w:rPr>
        <w:t xml:space="preserve">      </w:t>
      </w:r>
      <w:r w:rsidR="002B44E7">
        <w:rPr>
          <w:noProof/>
        </w:rPr>
        <w:drawing>
          <wp:inline distT="0" distB="0" distL="0" distR="0">
            <wp:extent cx="2568821" cy="3425190"/>
            <wp:effectExtent l="0" t="0" r="317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9140" cy="3465616"/>
                    </a:xfrm>
                    <a:prstGeom prst="rect">
                      <a:avLst/>
                    </a:prstGeom>
                    <a:noFill/>
                    <a:ln>
                      <a:noFill/>
                    </a:ln>
                  </pic:spPr>
                </pic:pic>
              </a:graphicData>
            </a:graphic>
          </wp:inline>
        </w:drawing>
      </w:r>
      <w:r w:rsidR="002B44E7">
        <w:rPr>
          <w:noProof/>
        </w:rPr>
        <w:drawing>
          <wp:inline distT="0" distB="0" distL="0" distR="0">
            <wp:extent cx="2585490" cy="3447415"/>
            <wp:effectExtent l="0" t="0" r="571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3103" cy="3457566"/>
                    </a:xfrm>
                    <a:prstGeom prst="rect">
                      <a:avLst/>
                    </a:prstGeom>
                    <a:noFill/>
                    <a:ln>
                      <a:noFill/>
                    </a:ln>
                  </pic:spPr>
                </pic:pic>
              </a:graphicData>
            </a:graphic>
          </wp:inline>
        </w:drawing>
      </w:r>
    </w:p>
    <w:p w:rsidR="002B44E7" w:rsidRDefault="002B44E7" w:rsidP="008E1F19">
      <w:pPr>
        <w:rPr>
          <w:b/>
        </w:rPr>
      </w:pPr>
    </w:p>
    <w:p w:rsidR="008E1F19" w:rsidRPr="00345A79" w:rsidRDefault="008E1F19" w:rsidP="008E1F19">
      <w:pPr>
        <w:rPr>
          <w:b/>
        </w:rPr>
      </w:pPr>
      <w:r w:rsidRPr="00345A79">
        <w:rPr>
          <w:b/>
        </w:rPr>
        <w:t xml:space="preserve">Ruminants are not good subjects for general </w:t>
      </w:r>
      <w:r w:rsidRPr="00345A79">
        <w:rPr>
          <w:b/>
        </w:rPr>
        <w:t>anaesthesia</w:t>
      </w:r>
      <w:r w:rsidRPr="00345A79">
        <w:rPr>
          <w:b/>
        </w:rPr>
        <w:t>.</w:t>
      </w:r>
    </w:p>
    <w:p w:rsidR="008E1F19" w:rsidRDefault="008E1F19" w:rsidP="008E1F19">
      <w:pPr>
        <w:pStyle w:val="ListParagraph"/>
        <w:numPr>
          <w:ilvl w:val="0"/>
          <w:numId w:val="1"/>
        </w:numPr>
      </w:pPr>
      <w:r>
        <w:t>The danger of regurgitation and inhalation of ingesta is much greater in these speci</w:t>
      </w:r>
      <w:r>
        <w:t xml:space="preserve">es </w:t>
      </w:r>
      <w:r>
        <w:t>compared to other common domestic species.</w:t>
      </w:r>
    </w:p>
    <w:p w:rsidR="00345A79" w:rsidRDefault="00345A79" w:rsidP="00345A79">
      <w:pPr>
        <w:pStyle w:val="ListParagraph"/>
      </w:pPr>
    </w:p>
    <w:p w:rsidR="008E1F19" w:rsidRDefault="008E1F19" w:rsidP="008E1F19">
      <w:pPr>
        <w:pStyle w:val="ListParagraph"/>
        <w:numPr>
          <w:ilvl w:val="0"/>
          <w:numId w:val="1"/>
        </w:numPr>
      </w:pPr>
      <w:r>
        <w:t>T</w:t>
      </w:r>
      <w:r>
        <w:t>heir docile temperament allows majority of surgical procedures to be carried</w:t>
      </w:r>
      <w:r>
        <w:t xml:space="preserve"> </w:t>
      </w:r>
      <w:r>
        <w:t xml:space="preserve">out by local </w:t>
      </w:r>
      <w:r>
        <w:t>anaesthesia</w:t>
      </w:r>
      <w:r>
        <w:t xml:space="preserve"> (± sedation) without much difficulty, and many techniques are</w:t>
      </w:r>
      <w:r>
        <w:t xml:space="preserve"> </w:t>
      </w:r>
      <w:r>
        <w:t xml:space="preserve">available </w:t>
      </w:r>
    </w:p>
    <w:p w:rsidR="008E1F19" w:rsidRDefault="008E1F19" w:rsidP="008E1F19">
      <w:pPr>
        <w:pStyle w:val="ListParagraph"/>
      </w:pPr>
    </w:p>
    <w:p w:rsidR="008E1F19" w:rsidRDefault="008E1F19" w:rsidP="008E1F19">
      <w:pPr>
        <w:pStyle w:val="ListParagraph"/>
        <w:numPr>
          <w:ilvl w:val="0"/>
          <w:numId w:val="1"/>
        </w:numPr>
      </w:pPr>
      <w:r>
        <w:t xml:space="preserve">Gross distension of the rumen becomes a hazard if </w:t>
      </w:r>
      <w:r>
        <w:t>anaesthesia</w:t>
      </w:r>
      <w:r>
        <w:t xml:space="preserve"> or recumbency is prolonged</w:t>
      </w:r>
    </w:p>
    <w:p w:rsidR="008E1F19" w:rsidRDefault="008E1F19" w:rsidP="008E1F19">
      <w:pPr>
        <w:pStyle w:val="ListParagraph"/>
      </w:pPr>
      <w:r>
        <w:t>and regurgitation can follow from this</w:t>
      </w:r>
    </w:p>
    <w:p w:rsidR="008E1F19" w:rsidRDefault="008E1F19" w:rsidP="008E1F19">
      <w:pPr>
        <w:pStyle w:val="ListParagraph"/>
      </w:pPr>
    </w:p>
    <w:p w:rsidR="008E1F19" w:rsidRDefault="008E1F19" w:rsidP="008E1F19">
      <w:pPr>
        <w:pStyle w:val="ListParagraph"/>
        <w:numPr>
          <w:ilvl w:val="0"/>
          <w:numId w:val="1"/>
        </w:numPr>
      </w:pPr>
      <w:r>
        <w:t xml:space="preserve">The </w:t>
      </w:r>
      <w:r>
        <w:t>weight of the abdominal viscera and their contents prevents the diaphragm</w:t>
      </w:r>
    </w:p>
    <w:p w:rsidR="008E1F19" w:rsidRDefault="008E1F19" w:rsidP="008E1F19">
      <w:pPr>
        <w:pStyle w:val="ListParagraph"/>
      </w:pPr>
      <w:r>
        <w:t>from moving freely on inspiration and ventilation becomes shallow, rapid and inefficient for</w:t>
      </w:r>
    </w:p>
    <w:p w:rsidR="008E1F19" w:rsidRDefault="008E1F19" w:rsidP="008E1F19">
      <w:pPr>
        <w:pStyle w:val="ListParagraph"/>
      </w:pPr>
      <w:r>
        <w:t>gas exchange within the lungs.</w:t>
      </w:r>
    </w:p>
    <w:p w:rsidR="008E1F19" w:rsidRDefault="008E1F19" w:rsidP="008E1F19">
      <w:pPr>
        <w:pStyle w:val="ListParagraph"/>
      </w:pPr>
    </w:p>
    <w:p w:rsidR="008E1F19" w:rsidRDefault="008E1F19" w:rsidP="008E1F19">
      <w:pPr>
        <w:pStyle w:val="ListParagraph"/>
        <w:numPr>
          <w:ilvl w:val="0"/>
          <w:numId w:val="1"/>
        </w:numPr>
      </w:pPr>
      <w:r>
        <w:t xml:space="preserve">In unfortunate circumstances, the aspirated </w:t>
      </w:r>
      <w:r>
        <w:t>regurgitations</w:t>
      </w:r>
      <w:r>
        <w:t xml:space="preserve"> </w:t>
      </w:r>
      <w:r>
        <w:t xml:space="preserve">can </w:t>
      </w:r>
      <w:r>
        <w:t>obstruct the airway, cause</w:t>
      </w:r>
      <w:r>
        <w:t xml:space="preserve"> </w:t>
      </w:r>
      <w:r>
        <w:t>asphyxia, and bring the patient to death within 24 hours of developing the complication.</w:t>
      </w:r>
    </w:p>
    <w:p w:rsidR="008E1F19" w:rsidRDefault="008E1F19" w:rsidP="008E1F19">
      <w:pPr>
        <w:pStyle w:val="ListParagraph"/>
      </w:pPr>
    </w:p>
    <w:p w:rsidR="00322FB2" w:rsidRDefault="00322FB2" w:rsidP="00322FB2"/>
    <w:p w:rsidR="00322FB2" w:rsidRDefault="00322FB2" w:rsidP="00322FB2">
      <w:pPr>
        <w:pStyle w:val="ListParagraph"/>
        <w:numPr>
          <w:ilvl w:val="0"/>
          <w:numId w:val="1"/>
        </w:numPr>
      </w:pPr>
      <w:r w:rsidRPr="00322FB2">
        <w:t xml:space="preserve">The danger of regurgitation can be minimized by: </w:t>
      </w:r>
    </w:p>
    <w:p w:rsidR="00322FB2" w:rsidRDefault="00322FB2" w:rsidP="00322FB2">
      <w:pPr>
        <w:pStyle w:val="ListParagraph"/>
      </w:pPr>
    </w:p>
    <w:p w:rsidR="00322FB2" w:rsidRDefault="00322FB2" w:rsidP="00322FB2">
      <w:pPr>
        <w:pStyle w:val="ListParagraph"/>
        <w:numPr>
          <w:ilvl w:val="1"/>
          <w:numId w:val="1"/>
        </w:numPr>
      </w:pPr>
      <w:r w:rsidRPr="00322FB2">
        <w:t xml:space="preserve"> Starvation prior to </w:t>
      </w:r>
      <w:r w:rsidRPr="00322FB2">
        <w:t>anaesthesia</w:t>
      </w:r>
      <w:r w:rsidRPr="00322FB2">
        <w:t xml:space="preserve"> </w:t>
      </w:r>
    </w:p>
    <w:p w:rsidR="002B44E7" w:rsidRDefault="002B44E7" w:rsidP="002B44E7">
      <w:pPr>
        <w:pStyle w:val="ListParagraph"/>
      </w:pPr>
    </w:p>
    <w:p w:rsidR="00322FB2" w:rsidRDefault="00322FB2" w:rsidP="00322FB2">
      <w:pPr>
        <w:pStyle w:val="ListParagraph"/>
        <w:numPr>
          <w:ilvl w:val="1"/>
          <w:numId w:val="1"/>
        </w:numPr>
      </w:pPr>
      <w:r w:rsidRPr="00322FB2">
        <w:t xml:space="preserve"> Water deprivation prior to </w:t>
      </w:r>
      <w:r w:rsidR="002B44E7" w:rsidRPr="00322FB2">
        <w:t>anaesthesia</w:t>
      </w:r>
      <w:r w:rsidRPr="00322FB2">
        <w:t xml:space="preserve"> </w:t>
      </w:r>
    </w:p>
    <w:p w:rsidR="00322FB2" w:rsidRDefault="00322FB2" w:rsidP="00322FB2">
      <w:pPr>
        <w:pStyle w:val="ListParagraph"/>
      </w:pPr>
    </w:p>
    <w:p w:rsidR="00322FB2" w:rsidRDefault="00322FB2" w:rsidP="00322FB2">
      <w:pPr>
        <w:pStyle w:val="ListParagraph"/>
        <w:numPr>
          <w:ilvl w:val="1"/>
          <w:numId w:val="1"/>
        </w:numPr>
      </w:pPr>
      <w:r w:rsidRPr="00322FB2">
        <w:t xml:space="preserve">In lateral recumbency, elevating the neck to avoid easy regurgitation and positioning the head sloped down to facilitate drainage of saliva (large amount produced) and other intraoral materials. </w:t>
      </w:r>
    </w:p>
    <w:p w:rsidR="00322FB2" w:rsidRDefault="00322FB2" w:rsidP="00322FB2">
      <w:pPr>
        <w:pStyle w:val="ListParagraph"/>
      </w:pPr>
    </w:p>
    <w:p w:rsidR="00322FB2" w:rsidRDefault="00322FB2" w:rsidP="00322FB2">
      <w:pPr>
        <w:pStyle w:val="ListParagraph"/>
        <w:numPr>
          <w:ilvl w:val="1"/>
          <w:numId w:val="1"/>
        </w:numPr>
      </w:pPr>
      <w:r w:rsidRPr="00322FB2">
        <w:t xml:space="preserve"> Passing down a stomach tube to allow drainage of ruminal materials (</w:t>
      </w:r>
      <w:r w:rsidR="002B44E7" w:rsidRPr="00322FB2">
        <w:t>and</w:t>
      </w:r>
      <w:r w:rsidRPr="00322FB2">
        <w:t xml:space="preserve"> accumulated gas) during the recumbency</w:t>
      </w:r>
    </w:p>
    <w:p w:rsidR="00322FB2" w:rsidRDefault="00322FB2" w:rsidP="00322FB2">
      <w:pPr>
        <w:pStyle w:val="ListParagraph"/>
      </w:pPr>
    </w:p>
    <w:p w:rsidR="00322FB2" w:rsidRPr="002B44E7" w:rsidRDefault="002B44E7" w:rsidP="002B44E7">
      <w:pPr>
        <w:pStyle w:val="ListParagraph"/>
        <w:rPr>
          <w:b/>
          <w:sz w:val="28"/>
          <w:szCs w:val="28"/>
        </w:rPr>
      </w:pPr>
      <w:r w:rsidRPr="002B44E7">
        <w:rPr>
          <w:b/>
          <w:color w:val="8EAADB" w:themeColor="accent1" w:themeTint="99"/>
          <w:sz w:val="28"/>
          <w:szCs w:val="28"/>
        </w:rPr>
        <w:t xml:space="preserve">Pre-anaesthetic preparation </w:t>
      </w:r>
    </w:p>
    <w:p w:rsidR="008E1F19" w:rsidRDefault="008E1F19" w:rsidP="008E1F19">
      <w:pPr>
        <w:pStyle w:val="ListParagraph"/>
        <w:numPr>
          <w:ilvl w:val="0"/>
          <w:numId w:val="1"/>
        </w:numPr>
      </w:pPr>
      <w:r w:rsidRPr="008E1F19">
        <w:rPr>
          <w:b/>
          <w:color w:val="8EAADB" w:themeColor="accent1" w:themeTint="99"/>
        </w:rPr>
        <w:t>Xylazine</w:t>
      </w:r>
      <w:r>
        <w:t xml:space="preserve">- </w:t>
      </w:r>
      <w:r w:rsidRPr="008E1F19">
        <w:t xml:space="preserve">May cause hypoxemia and hypercapnia and pulmonary </w:t>
      </w:r>
      <w:r w:rsidR="00322FB2">
        <w:t>oede</w:t>
      </w:r>
      <w:r w:rsidRPr="008E1F19">
        <w:t>ma (this is most notable/ predictable in small ruminants, particularly in the sheep)</w:t>
      </w:r>
    </w:p>
    <w:p w:rsidR="00345A79" w:rsidRDefault="00345A79" w:rsidP="00345A79">
      <w:pPr>
        <w:pStyle w:val="ListParagraph"/>
      </w:pPr>
    </w:p>
    <w:p w:rsidR="00345A79" w:rsidRPr="00345A79" w:rsidRDefault="00345A79" w:rsidP="00345A79">
      <w:pPr>
        <w:pStyle w:val="ListParagraph"/>
        <w:rPr>
          <w:b/>
          <w:color w:val="8EAADB" w:themeColor="accent1" w:themeTint="99"/>
          <w:sz w:val="28"/>
          <w:szCs w:val="28"/>
        </w:rPr>
      </w:pPr>
    </w:p>
    <w:p w:rsidR="00322FB2" w:rsidRDefault="00322FB2" w:rsidP="008E1F19">
      <w:pPr>
        <w:pStyle w:val="ListParagraph"/>
        <w:rPr>
          <w:b/>
          <w:color w:val="8EAADB" w:themeColor="accent1" w:themeTint="99"/>
          <w:sz w:val="28"/>
          <w:szCs w:val="28"/>
        </w:rPr>
      </w:pPr>
    </w:p>
    <w:p w:rsidR="00322FB2" w:rsidRDefault="00322FB2" w:rsidP="008E1F19">
      <w:pPr>
        <w:pStyle w:val="ListParagraph"/>
        <w:rPr>
          <w:b/>
          <w:color w:val="8EAADB" w:themeColor="accent1" w:themeTint="99"/>
          <w:sz w:val="28"/>
          <w:szCs w:val="28"/>
        </w:rPr>
      </w:pPr>
    </w:p>
    <w:p w:rsidR="00322FB2" w:rsidRDefault="00322FB2" w:rsidP="008E1F19">
      <w:pPr>
        <w:pStyle w:val="ListParagraph"/>
        <w:rPr>
          <w:b/>
          <w:color w:val="8EAADB" w:themeColor="accent1" w:themeTint="99"/>
          <w:sz w:val="28"/>
          <w:szCs w:val="28"/>
        </w:rPr>
      </w:pPr>
    </w:p>
    <w:p w:rsidR="00322FB2" w:rsidRDefault="00322FB2" w:rsidP="008E1F19">
      <w:pPr>
        <w:pStyle w:val="ListParagraph"/>
        <w:rPr>
          <w:b/>
          <w:color w:val="8EAADB" w:themeColor="accent1" w:themeTint="99"/>
          <w:sz w:val="28"/>
          <w:szCs w:val="28"/>
        </w:rPr>
      </w:pPr>
    </w:p>
    <w:p w:rsidR="008E1F19" w:rsidRDefault="00345A79" w:rsidP="008E1F19">
      <w:pPr>
        <w:pStyle w:val="ListParagraph"/>
        <w:rPr>
          <w:b/>
          <w:color w:val="8EAADB" w:themeColor="accent1" w:themeTint="99"/>
          <w:sz w:val="28"/>
          <w:szCs w:val="28"/>
        </w:rPr>
      </w:pPr>
      <w:r w:rsidRPr="00345A79">
        <w:rPr>
          <w:b/>
          <w:color w:val="8EAADB" w:themeColor="accent1" w:themeTint="99"/>
          <w:sz w:val="28"/>
          <w:szCs w:val="28"/>
        </w:rPr>
        <w:t>Anaesthetic</w:t>
      </w:r>
      <w:r w:rsidRPr="00345A79">
        <w:rPr>
          <w:b/>
          <w:color w:val="8EAADB" w:themeColor="accent1" w:themeTint="99"/>
          <w:sz w:val="28"/>
          <w:szCs w:val="28"/>
        </w:rPr>
        <w:t xml:space="preserve"> Induction</w:t>
      </w:r>
      <w:r>
        <w:rPr>
          <w:b/>
          <w:color w:val="8EAADB" w:themeColor="accent1" w:themeTint="99"/>
          <w:sz w:val="28"/>
          <w:szCs w:val="28"/>
        </w:rPr>
        <w:t>:</w:t>
      </w:r>
    </w:p>
    <w:p w:rsidR="00345A79" w:rsidRPr="00345A79" w:rsidRDefault="00345A79" w:rsidP="008E1F19">
      <w:pPr>
        <w:pStyle w:val="ListParagraph"/>
        <w:rPr>
          <w:b/>
          <w:color w:val="8EAADB" w:themeColor="accent1" w:themeTint="99"/>
          <w:sz w:val="28"/>
          <w:szCs w:val="28"/>
        </w:rPr>
      </w:pPr>
    </w:p>
    <w:p w:rsidR="008E1F19" w:rsidRPr="00345A79" w:rsidRDefault="008E1F19" w:rsidP="008E1F19">
      <w:pPr>
        <w:pStyle w:val="ListParagraph"/>
        <w:rPr>
          <w:b/>
          <w:color w:val="8EAADB" w:themeColor="accent1" w:themeTint="99"/>
        </w:rPr>
      </w:pPr>
      <w:r w:rsidRPr="00345A79">
        <w:rPr>
          <w:b/>
          <w:color w:val="8EAADB" w:themeColor="accent1" w:themeTint="99"/>
        </w:rPr>
        <w:t>Ketamine-Xylazine</w:t>
      </w:r>
      <w:r w:rsidRPr="00345A79">
        <w:rPr>
          <w:b/>
          <w:color w:val="8EAADB" w:themeColor="accent1" w:themeTint="99"/>
        </w:rPr>
        <w:t xml:space="preserve">: </w:t>
      </w:r>
    </w:p>
    <w:p w:rsidR="008E1F19" w:rsidRDefault="008E1F19" w:rsidP="00345A79">
      <w:pPr>
        <w:pStyle w:val="ListParagraph"/>
        <w:numPr>
          <w:ilvl w:val="0"/>
          <w:numId w:val="1"/>
        </w:numPr>
      </w:pPr>
      <w:r>
        <w:t>Often, ET intubation can be performed soon after the xylazine injection and before ketamine is given and whenever possible this should be done, as ketamine appears to produce copious salivation or an inability to swallow the normal saliva volume</w:t>
      </w:r>
    </w:p>
    <w:p w:rsidR="008E1F19" w:rsidRDefault="008E1F19" w:rsidP="008E1F19">
      <w:pPr>
        <w:pStyle w:val="ListParagraph"/>
      </w:pPr>
    </w:p>
    <w:p w:rsidR="008E1F19" w:rsidRDefault="008E1F19" w:rsidP="008E1F19">
      <w:pPr>
        <w:pStyle w:val="ListParagraph"/>
        <w:numPr>
          <w:ilvl w:val="0"/>
          <w:numId w:val="1"/>
        </w:numPr>
      </w:pPr>
      <w:r>
        <w:t>Hypoxia due to hypoventilation during the use of this combination has also been reported. For this reason, supplemental oxygen is recommended.</w:t>
      </w:r>
    </w:p>
    <w:sectPr w:rsidR="008E1F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891ADF"/>
    <w:multiLevelType w:val="hybridMultilevel"/>
    <w:tmpl w:val="97F6650C"/>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D4"/>
    <w:rsid w:val="00004113"/>
    <w:rsid w:val="002B44E7"/>
    <w:rsid w:val="00322FB2"/>
    <w:rsid w:val="00345A79"/>
    <w:rsid w:val="008E1F19"/>
    <w:rsid w:val="00A372D4"/>
    <w:rsid w:val="00B40E8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1BF0"/>
  <w15:chartTrackingRefBased/>
  <w15:docId w15:val="{946940E5-E8C1-4337-A227-24CA0B11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image" Target="media/image1.jpeg"/><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thais.campbell</dc:creator>
  <cp:keywords/>
  <dc:description/>
  <cp:lastModifiedBy>thais.campbell</cp:lastModifiedBy>
  <cp:revision>1</cp:revision>
  <dcterms:created xsi:type="dcterms:W3CDTF">2018-11-02T19:10:00Z</dcterms:created>
  <dcterms:modified xsi:type="dcterms:W3CDTF">2018-11-02T23:06:00Z</dcterms:modified>
</cp:coreProperties>
</file>