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B5BB" w14:textId="39E3310F" w:rsidR="00204EA8" w:rsidRPr="002A1A2D" w:rsidRDefault="00A31A23" w:rsidP="002D6E77">
      <w:pPr>
        <w:jc w:val="center"/>
        <w:rPr>
          <w:rFonts w:ascii="Arial Rounded MT Bold" w:hAnsi="Arial Rounded MT Bold"/>
          <w:b/>
          <w:bCs/>
          <w:color w:val="538135" w:themeColor="accent6" w:themeShade="BF"/>
          <w:sz w:val="72"/>
          <w:szCs w:val="72"/>
        </w:rPr>
      </w:pPr>
      <w:bookmarkStart w:id="0" w:name="_GoBack"/>
      <w:r w:rsidRPr="002A1A2D">
        <w:rPr>
          <w:rFonts w:ascii="Arial Rounded MT Bold" w:hAnsi="Arial Rounded MT Bold"/>
          <w:b/>
          <w:bCs/>
          <w:color w:val="538135" w:themeColor="accent6" w:themeShade="BF"/>
          <w:sz w:val="72"/>
          <w:szCs w:val="72"/>
        </w:rPr>
        <w:t>Drug Table</w:t>
      </w:r>
    </w:p>
    <w:bookmarkEnd w:id="0"/>
    <w:p w14:paraId="13D2879A" w14:textId="77777777" w:rsidR="00A31A23" w:rsidRPr="002A1A2D" w:rsidRDefault="00A31A23">
      <w:pPr>
        <w:rPr>
          <w:rFonts w:ascii="Arial Rounded MT Bold" w:hAnsi="Arial Rounded MT Bold"/>
          <w:sz w:val="36"/>
          <w:szCs w:val="36"/>
        </w:rPr>
      </w:pPr>
      <w:r w:rsidRPr="002A1A2D">
        <w:rPr>
          <w:rFonts w:ascii="Arial Rounded MT Bold" w:hAnsi="Arial Rounded MT Bold"/>
          <w:sz w:val="36"/>
          <w:szCs w:val="36"/>
        </w:rPr>
        <w:t>This lab session would require sedation as well as anaesthesia so the following drugs would be recommended.</w:t>
      </w:r>
    </w:p>
    <w:p w14:paraId="03AB2E28" w14:textId="77777777" w:rsidR="00A31A23" w:rsidRDefault="00A31A23"/>
    <w:tbl>
      <w:tblPr>
        <w:tblStyle w:val="GridTable7Colorful-Accent1"/>
        <w:tblW w:w="21384" w:type="dxa"/>
        <w:tblLook w:val="04A0" w:firstRow="1" w:lastRow="0" w:firstColumn="1" w:lastColumn="0" w:noHBand="0" w:noVBand="1"/>
      </w:tblPr>
      <w:tblGrid>
        <w:gridCol w:w="4846"/>
        <w:gridCol w:w="6441"/>
        <w:gridCol w:w="5197"/>
        <w:gridCol w:w="4900"/>
      </w:tblGrid>
      <w:tr w:rsidR="005C4E3B" w14:paraId="4726D7C3" w14:textId="77777777" w:rsidTr="002A1A2D">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4846" w:type="dxa"/>
          </w:tcPr>
          <w:p w14:paraId="1E84A8F7" w14:textId="5153DCEA" w:rsidR="005C4E3B" w:rsidRPr="002A1A2D" w:rsidRDefault="005C4E3B" w:rsidP="002D6E77">
            <w:pPr>
              <w:rPr>
                <w:color w:val="BF8F00" w:themeColor="accent4" w:themeShade="BF"/>
                <w:sz w:val="28"/>
                <w:szCs w:val="28"/>
              </w:rPr>
            </w:pPr>
            <w:r w:rsidRPr="002A1A2D">
              <w:rPr>
                <w:color w:val="BF8F00" w:themeColor="accent4" w:themeShade="BF"/>
                <w:sz w:val="28"/>
                <w:szCs w:val="28"/>
              </w:rPr>
              <w:t xml:space="preserve">Drugs </w:t>
            </w:r>
          </w:p>
        </w:tc>
        <w:tc>
          <w:tcPr>
            <w:tcW w:w="6441" w:type="dxa"/>
          </w:tcPr>
          <w:p w14:paraId="6252D2B0" w14:textId="6F9101DF" w:rsidR="005C4E3B" w:rsidRPr="002A1A2D" w:rsidRDefault="005C4E3B" w:rsidP="002D6E77">
            <w:pPr>
              <w:cnfStyle w:val="100000000000" w:firstRow="1" w:lastRow="0" w:firstColumn="0" w:lastColumn="0" w:oddVBand="0" w:evenVBand="0" w:oddHBand="0" w:evenHBand="0" w:firstRowFirstColumn="0" w:firstRowLastColumn="0" w:lastRowFirstColumn="0" w:lastRowLastColumn="0"/>
              <w:rPr>
                <w:color w:val="BF8F00" w:themeColor="accent4" w:themeShade="BF"/>
                <w:sz w:val="28"/>
                <w:szCs w:val="28"/>
              </w:rPr>
            </w:pPr>
            <w:r w:rsidRPr="002A1A2D">
              <w:rPr>
                <w:color w:val="BF8F00" w:themeColor="accent4" w:themeShade="BF"/>
                <w:sz w:val="28"/>
                <w:szCs w:val="28"/>
              </w:rPr>
              <w:t xml:space="preserve">Dose/concertation </w:t>
            </w:r>
          </w:p>
        </w:tc>
        <w:tc>
          <w:tcPr>
            <w:tcW w:w="5197" w:type="dxa"/>
          </w:tcPr>
          <w:p w14:paraId="1E69844E" w14:textId="534DE4F5" w:rsidR="005C4E3B" w:rsidRPr="002A1A2D" w:rsidRDefault="005C4E3B" w:rsidP="002D6E77">
            <w:pPr>
              <w:cnfStyle w:val="100000000000" w:firstRow="1" w:lastRow="0" w:firstColumn="0" w:lastColumn="0" w:oddVBand="0" w:evenVBand="0" w:oddHBand="0" w:evenHBand="0" w:firstRowFirstColumn="0" w:firstRowLastColumn="0" w:lastRowFirstColumn="0" w:lastRowLastColumn="0"/>
              <w:rPr>
                <w:color w:val="BF8F00" w:themeColor="accent4" w:themeShade="BF"/>
                <w:sz w:val="28"/>
                <w:szCs w:val="28"/>
              </w:rPr>
            </w:pPr>
            <w:r w:rsidRPr="002A1A2D">
              <w:rPr>
                <w:color w:val="BF8F00" w:themeColor="accent4" w:themeShade="BF"/>
                <w:sz w:val="28"/>
                <w:szCs w:val="28"/>
              </w:rPr>
              <w:t xml:space="preserve">Withdrawal time </w:t>
            </w:r>
          </w:p>
        </w:tc>
        <w:tc>
          <w:tcPr>
            <w:tcW w:w="4900" w:type="dxa"/>
          </w:tcPr>
          <w:p w14:paraId="51055A0F" w14:textId="13589FDF" w:rsidR="005C4E3B" w:rsidRPr="002A1A2D" w:rsidRDefault="005C4E3B" w:rsidP="002D6E77">
            <w:pPr>
              <w:cnfStyle w:val="100000000000" w:firstRow="1" w:lastRow="0" w:firstColumn="0" w:lastColumn="0" w:oddVBand="0" w:evenVBand="0" w:oddHBand="0" w:evenHBand="0" w:firstRowFirstColumn="0" w:firstRowLastColumn="0" w:lastRowFirstColumn="0" w:lastRowLastColumn="0"/>
              <w:rPr>
                <w:color w:val="BF8F00" w:themeColor="accent4" w:themeShade="BF"/>
                <w:sz w:val="28"/>
                <w:szCs w:val="28"/>
              </w:rPr>
            </w:pPr>
            <w:r w:rsidRPr="002A1A2D">
              <w:rPr>
                <w:color w:val="BF8F00" w:themeColor="accent4" w:themeShade="BF"/>
                <w:sz w:val="28"/>
                <w:szCs w:val="28"/>
              </w:rPr>
              <w:t xml:space="preserve">Route&amp; comments </w:t>
            </w:r>
          </w:p>
        </w:tc>
      </w:tr>
      <w:tr w:rsidR="005C4E3B" w14:paraId="3D0EBB3F"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38302031" w14:textId="2C2D1830" w:rsidR="005C4E3B" w:rsidRDefault="005C4E3B">
            <w:r w:rsidRPr="005C4E3B">
              <w:t>Lidocaine</w:t>
            </w:r>
          </w:p>
        </w:tc>
        <w:tc>
          <w:tcPr>
            <w:tcW w:w="6441" w:type="dxa"/>
          </w:tcPr>
          <w:p w14:paraId="7C6EACB8"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Toxic dose: 2% of 10 mg/kg</w:t>
            </w:r>
          </w:p>
          <w:p w14:paraId="3CE5133E"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Recommended dose for cow: (half toxic dose)</w:t>
            </w:r>
          </w:p>
          <w:p w14:paraId="294FD52A" w14:textId="3B2009DD" w:rsidR="005C4E3B" w:rsidRDefault="005C4E3B" w:rsidP="005C4E3B">
            <w:pPr>
              <w:cnfStyle w:val="000000100000" w:firstRow="0" w:lastRow="0" w:firstColumn="0" w:lastColumn="0" w:oddVBand="0" w:evenVBand="0" w:oddHBand="1" w:evenHBand="0" w:firstRowFirstColumn="0" w:firstRowLastColumn="0" w:lastRowFirstColumn="0" w:lastRowLastColumn="0"/>
            </w:pPr>
            <w:r>
              <w:t>2% of 5 mg/kg</w:t>
            </w:r>
          </w:p>
        </w:tc>
        <w:tc>
          <w:tcPr>
            <w:tcW w:w="5197" w:type="dxa"/>
          </w:tcPr>
          <w:p w14:paraId="04B6F6F3"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4 days for meat</w:t>
            </w:r>
          </w:p>
          <w:p w14:paraId="76B16C2B" w14:textId="7A2C89D6" w:rsidR="005C4E3B" w:rsidRDefault="005C4E3B" w:rsidP="005C4E3B">
            <w:pPr>
              <w:cnfStyle w:val="000000100000" w:firstRow="0" w:lastRow="0" w:firstColumn="0" w:lastColumn="0" w:oddVBand="0" w:evenVBand="0" w:oddHBand="1" w:evenHBand="0" w:firstRowFirstColumn="0" w:firstRowLastColumn="0" w:lastRowFirstColumn="0" w:lastRowLastColumn="0"/>
            </w:pPr>
            <w:r>
              <w:t>3 days for milk</w:t>
            </w:r>
          </w:p>
        </w:tc>
        <w:tc>
          <w:tcPr>
            <w:tcW w:w="4900" w:type="dxa"/>
          </w:tcPr>
          <w:p w14:paraId="0AEAADB6"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IM/SC</w:t>
            </w:r>
          </w:p>
          <w:p w14:paraId="0F8FAB81" w14:textId="50ECE81F" w:rsidR="005C4E3B" w:rsidRDefault="005C4E3B" w:rsidP="005C4E3B">
            <w:pPr>
              <w:cnfStyle w:val="000000100000" w:firstRow="0" w:lastRow="0" w:firstColumn="0" w:lastColumn="0" w:oddVBand="0" w:evenVBand="0" w:oddHBand="1" w:evenHBand="0" w:firstRowFirstColumn="0" w:firstRowLastColumn="0" w:lastRowFirstColumn="0" w:lastRowLastColumn="0"/>
            </w:pPr>
          </w:p>
        </w:tc>
      </w:tr>
      <w:tr w:rsidR="005C4E3B" w14:paraId="04C10EBA" w14:textId="77777777" w:rsidTr="002A1A2D">
        <w:trPr>
          <w:trHeight w:val="590"/>
        </w:trPr>
        <w:tc>
          <w:tcPr>
            <w:cnfStyle w:val="001000000000" w:firstRow="0" w:lastRow="0" w:firstColumn="1" w:lastColumn="0" w:oddVBand="0" w:evenVBand="0" w:oddHBand="0" w:evenHBand="0" w:firstRowFirstColumn="0" w:firstRowLastColumn="0" w:lastRowFirstColumn="0" w:lastRowLastColumn="0"/>
            <w:tcW w:w="4846" w:type="dxa"/>
          </w:tcPr>
          <w:p w14:paraId="79322D0F" w14:textId="782196C1" w:rsidR="005C4E3B" w:rsidRDefault="005C4E3B" w:rsidP="005C4E3B">
            <w:r w:rsidRPr="0029297E">
              <w:t xml:space="preserve">Xylazine </w:t>
            </w:r>
          </w:p>
        </w:tc>
        <w:tc>
          <w:tcPr>
            <w:tcW w:w="6441" w:type="dxa"/>
          </w:tcPr>
          <w:p w14:paraId="2F175AF6" w14:textId="77777777" w:rsidR="005C4E3B" w:rsidRDefault="005C4E3B" w:rsidP="005C4E3B">
            <w:pPr>
              <w:cnfStyle w:val="000000000000" w:firstRow="0" w:lastRow="0" w:firstColumn="0" w:lastColumn="0" w:oddVBand="0" w:evenVBand="0" w:oddHBand="0" w:evenHBand="0" w:firstRowFirstColumn="0" w:firstRowLastColumn="0" w:lastRowFirstColumn="0" w:lastRowLastColumn="0"/>
            </w:pPr>
            <w:r w:rsidRPr="0029297E">
              <w:t>Recommended</w:t>
            </w:r>
          </w:p>
          <w:p w14:paraId="14F79C1A" w14:textId="21637C36" w:rsidR="005C4E3B" w:rsidRDefault="005C4E3B" w:rsidP="005C4E3B">
            <w:pPr>
              <w:cnfStyle w:val="000000000000" w:firstRow="0" w:lastRow="0" w:firstColumn="0" w:lastColumn="0" w:oddVBand="0" w:evenVBand="0" w:oddHBand="0" w:evenHBand="0" w:firstRowFirstColumn="0" w:firstRowLastColumn="0" w:lastRowFirstColumn="0" w:lastRowLastColumn="0"/>
            </w:pPr>
            <w:r w:rsidRPr="005C4E3B">
              <w:t>Initial dose 2% of 0.05 mg/kg Recommended Subsequent dose for cow: (half initial dose) 2% of 0.025</w:t>
            </w:r>
          </w:p>
        </w:tc>
        <w:tc>
          <w:tcPr>
            <w:tcW w:w="5197" w:type="dxa"/>
          </w:tcPr>
          <w:p w14:paraId="7A2C4A76" w14:textId="555A0E24" w:rsidR="005C4E3B" w:rsidRDefault="005C4E3B" w:rsidP="005C4E3B">
            <w:pPr>
              <w:cnfStyle w:val="000000000000" w:firstRow="0" w:lastRow="0" w:firstColumn="0" w:lastColumn="0" w:oddVBand="0" w:evenVBand="0" w:oddHBand="0" w:evenHBand="0" w:firstRowFirstColumn="0" w:firstRowLastColumn="0" w:lastRowFirstColumn="0" w:lastRowLastColumn="0"/>
            </w:pPr>
            <w:r w:rsidRPr="005C4E3B">
              <w:t>4 days for meat 1 days for milk</w:t>
            </w:r>
          </w:p>
        </w:tc>
        <w:tc>
          <w:tcPr>
            <w:tcW w:w="4900" w:type="dxa"/>
          </w:tcPr>
          <w:p w14:paraId="103199D7" w14:textId="3FB12E2F" w:rsidR="005C4E3B" w:rsidRDefault="005C4E3B" w:rsidP="005C4E3B">
            <w:pPr>
              <w:cnfStyle w:val="000000000000" w:firstRow="0" w:lastRow="0" w:firstColumn="0" w:lastColumn="0" w:oddVBand="0" w:evenVBand="0" w:oddHBand="0" w:evenHBand="0" w:firstRowFirstColumn="0" w:firstRowLastColumn="0" w:lastRowFirstColumn="0" w:lastRowLastColumn="0"/>
            </w:pPr>
            <w:r w:rsidRPr="005C4E3B">
              <w:t>IM</w:t>
            </w:r>
          </w:p>
        </w:tc>
      </w:tr>
      <w:tr w:rsidR="005C4E3B" w14:paraId="5186B20B"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7D5EA512" w14:textId="609FAC0F" w:rsidR="005C4E3B" w:rsidRDefault="005C4E3B">
            <w:r w:rsidRPr="005C4E3B">
              <w:t>Ketamine</w:t>
            </w:r>
          </w:p>
        </w:tc>
        <w:tc>
          <w:tcPr>
            <w:tcW w:w="6441" w:type="dxa"/>
          </w:tcPr>
          <w:p w14:paraId="68D25E36"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Recommended Initial dose 10% of 0.5 mg/kg</w:t>
            </w:r>
          </w:p>
          <w:p w14:paraId="69751DFA"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Recommended Subsequent dose for cow: (half initial dose)</w:t>
            </w:r>
          </w:p>
          <w:p w14:paraId="32EFA9E3" w14:textId="4D0BE0ED" w:rsidR="005C4E3B" w:rsidRDefault="005C4E3B" w:rsidP="005C4E3B">
            <w:pPr>
              <w:cnfStyle w:val="000000100000" w:firstRow="0" w:lastRow="0" w:firstColumn="0" w:lastColumn="0" w:oddVBand="0" w:evenVBand="0" w:oddHBand="1" w:evenHBand="0" w:firstRowFirstColumn="0" w:firstRowLastColumn="0" w:lastRowFirstColumn="0" w:lastRowLastColumn="0"/>
            </w:pPr>
            <w:r>
              <w:t>10% of 0.25 mg/kg</w:t>
            </w:r>
          </w:p>
        </w:tc>
        <w:tc>
          <w:tcPr>
            <w:tcW w:w="5197" w:type="dxa"/>
          </w:tcPr>
          <w:p w14:paraId="266F6E50"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3 days for meat</w:t>
            </w:r>
          </w:p>
          <w:p w14:paraId="2F55372B" w14:textId="1BE7B5C0" w:rsidR="005C4E3B" w:rsidRDefault="005C4E3B" w:rsidP="005C4E3B">
            <w:pPr>
              <w:cnfStyle w:val="000000100000" w:firstRow="0" w:lastRow="0" w:firstColumn="0" w:lastColumn="0" w:oddVBand="0" w:evenVBand="0" w:oddHBand="1" w:evenHBand="0" w:firstRowFirstColumn="0" w:firstRowLastColumn="0" w:lastRowFirstColumn="0" w:lastRowLastColumn="0"/>
            </w:pPr>
            <w:r>
              <w:t>3 days for milk</w:t>
            </w:r>
          </w:p>
        </w:tc>
        <w:tc>
          <w:tcPr>
            <w:tcW w:w="4900" w:type="dxa"/>
          </w:tcPr>
          <w:p w14:paraId="73322DF5" w14:textId="5CE32A2C" w:rsidR="005C4E3B" w:rsidRDefault="005C4E3B">
            <w:pPr>
              <w:cnfStyle w:val="000000100000" w:firstRow="0" w:lastRow="0" w:firstColumn="0" w:lastColumn="0" w:oddVBand="0" w:evenVBand="0" w:oddHBand="1" w:evenHBand="0" w:firstRowFirstColumn="0" w:firstRowLastColumn="0" w:lastRowFirstColumn="0" w:lastRowLastColumn="0"/>
            </w:pPr>
            <w:r w:rsidRPr="005C4E3B">
              <w:t>IM</w:t>
            </w:r>
          </w:p>
        </w:tc>
      </w:tr>
      <w:tr w:rsidR="002A1A2D" w14:paraId="0F1A1713" w14:textId="77777777" w:rsidTr="00AE29BC">
        <w:trPr>
          <w:trHeight w:val="590"/>
        </w:trPr>
        <w:tc>
          <w:tcPr>
            <w:cnfStyle w:val="001000000000" w:firstRow="0" w:lastRow="0" w:firstColumn="1" w:lastColumn="0" w:oddVBand="0" w:evenVBand="0" w:oddHBand="0" w:evenHBand="0" w:firstRowFirstColumn="0" w:firstRowLastColumn="0" w:lastRowFirstColumn="0" w:lastRowLastColumn="0"/>
            <w:tcW w:w="4846" w:type="dxa"/>
          </w:tcPr>
          <w:p w14:paraId="37692EA2" w14:textId="5AF8D5CB" w:rsidR="002A1A2D" w:rsidRPr="002A1A2D" w:rsidRDefault="002A1A2D">
            <w:pPr>
              <w:rPr>
                <w:sz w:val="32"/>
                <w:szCs w:val="32"/>
              </w:rPr>
            </w:pPr>
            <w:r w:rsidRPr="002A1A2D">
              <w:rPr>
                <w:color w:val="BF8F00" w:themeColor="accent4" w:themeShade="BF"/>
                <w:sz w:val="32"/>
                <w:szCs w:val="32"/>
              </w:rPr>
              <w:t>NSAID</w:t>
            </w:r>
          </w:p>
        </w:tc>
        <w:tc>
          <w:tcPr>
            <w:tcW w:w="16538" w:type="dxa"/>
            <w:gridSpan w:val="3"/>
          </w:tcPr>
          <w:p w14:paraId="6A6049C1" w14:textId="77777777" w:rsidR="002A1A2D" w:rsidRDefault="002A1A2D">
            <w:pPr>
              <w:cnfStyle w:val="000000000000" w:firstRow="0" w:lastRow="0" w:firstColumn="0" w:lastColumn="0" w:oddVBand="0" w:evenVBand="0" w:oddHBand="0" w:evenHBand="0" w:firstRowFirstColumn="0" w:firstRowLastColumn="0" w:lastRowFirstColumn="0" w:lastRowLastColumn="0"/>
            </w:pPr>
          </w:p>
        </w:tc>
      </w:tr>
      <w:tr w:rsidR="005C4E3B" w14:paraId="681949B7"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76F3F097" w14:textId="39CD2B8B" w:rsidR="005C4E3B" w:rsidRDefault="005C4E3B">
            <w:r w:rsidRPr="005C4E3B">
              <w:t>Flunixin</w:t>
            </w:r>
          </w:p>
        </w:tc>
        <w:tc>
          <w:tcPr>
            <w:tcW w:w="6441" w:type="dxa"/>
          </w:tcPr>
          <w:p w14:paraId="0761D602" w14:textId="5523EAC6" w:rsidR="005C4E3B" w:rsidRDefault="005C4E3B">
            <w:pPr>
              <w:cnfStyle w:val="000000100000" w:firstRow="0" w:lastRow="0" w:firstColumn="0" w:lastColumn="0" w:oddVBand="0" w:evenVBand="0" w:oddHBand="1" w:evenHBand="0" w:firstRowFirstColumn="0" w:firstRowLastColumn="0" w:lastRowFirstColumn="0" w:lastRowLastColumn="0"/>
            </w:pPr>
            <w:r w:rsidRPr="005C4E3B">
              <w:t>5% of 1.1 mg/kg</w:t>
            </w:r>
          </w:p>
        </w:tc>
        <w:tc>
          <w:tcPr>
            <w:tcW w:w="5197" w:type="dxa"/>
          </w:tcPr>
          <w:p w14:paraId="46CDA1FA"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4 days for meat</w:t>
            </w:r>
          </w:p>
          <w:p w14:paraId="4F5BB5A9" w14:textId="59CBCC9C" w:rsidR="005C4E3B" w:rsidRDefault="005C4E3B" w:rsidP="005C4E3B">
            <w:pPr>
              <w:cnfStyle w:val="000000100000" w:firstRow="0" w:lastRow="0" w:firstColumn="0" w:lastColumn="0" w:oddVBand="0" w:evenVBand="0" w:oddHBand="1" w:evenHBand="0" w:firstRowFirstColumn="0" w:firstRowLastColumn="0" w:lastRowFirstColumn="0" w:lastRowLastColumn="0"/>
            </w:pPr>
            <w:r>
              <w:t>1.5 days for milk</w:t>
            </w:r>
          </w:p>
        </w:tc>
        <w:tc>
          <w:tcPr>
            <w:tcW w:w="4900" w:type="dxa"/>
          </w:tcPr>
          <w:p w14:paraId="0C54F14F" w14:textId="3516CF57" w:rsidR="005C4E3B" w:rsidRDefault="005C4E3B">
            <w:pPr>
              <w:cnfStyle w:val="000000100000" w:firstRow="0" w:lastRow="0" w:firstColumn="0" w:lastColumn="0" w:oddVBand="0" w:evenVBand="0" w:oddHBand="1" w:evenHBand="0" w:firstRowFirstColumn="0" w:firstRowLastColumn="0" w:lastRowFirstColumn="0" w:lastRowLastColumn="0"/>
            </w:pPr>
            <w:r w:rsidRPr="005C4E3B">
              <w:t>IV, must be given first due to its technicality.</w:t>
            </w:r>
          </w:p>
        </w:tc>
      </w:tr>
      <w:tr w:rsidR="002A1A2D" w14:paraId="3BBFDF88" w14:textId="77777777" w:rsidTr="004812D3">
        <w:trPr>
          <w:trHeight w:val="590"/>
        </w:trPr>
        <w:tc>
          <w:tcPr>
            <w:cnfStyle w:val="001000000000" w:firstRow="0" w:lastRow="0" w:firstColumn="1" w:lastColumn="0" w:oddVBand="0" w:evenVBand="0" w:oddHBand="0" w:evenHBand="0" w:firstRowFirstColumn="0" w:firstRowLastColumn="0" w:lastRowFirstColumn="0" w:lastRowLastColumn="0"/>
            <w:tcW w:w="4846" w:type="dxa"/>
          </w:tcPr>
          <w:p w14:paraId="2D2DD284" w14:textId="721D2C77" w:rsidR="002A1A2D" w:rsidRPr="002A1A2D" w:rsidRDefault="002A1A2D">
            <w:pPr>
              <w:rPr>
                <w:b/>
                <w:bCs/>
                <w:i w:val="0"/>
                <w:iCs w:val="0"/>
                <w:sz w:val="32"/>
                <w:szCs w:val="32"/>
              </w:rPr>
            </w:pPr>
            <w:r w:rsidRPr="002A1A2D">
              <w:rPr>
                <w:b/>
                <w:bCs/>
                <w:i w:val="0"/>
                <w:iCs w:val="0"/>
                <w:color w:val="BF8F00" w:themeColor="accent4" w:themeShade="BF"/>
                <w:sz w:val="32"/>
                <w:szCs w:val="32"/>
              </w:rPr>
              <w:t>Antibiotic</w:t>
            </w:r>
          </w:p>
        </w:tc>
        <w:tc>
          <w:tcPr>
            <w:tcW w:w="16538" w:type="dxa"/>
            <w:gridSpan w:val="3"/>
          </w:tcPr>
          <w:p w14:paraId="281E57AB" w14:textId="77777777" w:rsidR="002A1A2D" w:rsidRDefault="002A1A2D">
            <w:pPr>
              <w:cnfStyle w:val="000000000000" w:firstRow="0" w:lastRow="0" w:firstColumn="0" w:lastColumn="0" w:oddVBand="0" w:evenVBand="0" w:oddHBand="0" w:evenHBand="0" w:firstRowFirstColumn="0" w:firstRowLastColumn="0" w:lastRowFirstColumn="0" w:lastRowLastColumn="0"/>
            </w:pPr>
          </w:p>
        </w:tc>
      </w:tr>
      <w:tr w:rsidR="005C4E3B" w14:paraId="66244245"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4AEF431E" w14:textId="34FBA5C5" w:rsidR="005C4E3B" w:rsidRDefault="005C4E3B">
            <w:r w:rsidRPr="005C4E3B">
              <w:t>Penicillin Streptomycin</w:t>
            </w:r>
          </w:p>
        </w:tc>
        <w:tc>
          <w:tcPr>
            <w:tcW w:w="6441" w:type="dxa"/>
          </w:tcPr>
          <w:p w14:paraId="57EEA027" w14:textId="56363865" w:rsidR="005C4E3B" w:rsidRDefault="005C4E3B">
            <w:pPr>
              <w:cnfStyle w:val="000000100000" w:firstRow="0" w:lastRow="0" w:firstColumn="0" w:lastColumn="0" w:oddVBand="0" w:evenVBand="0" w:oddHBand="1" w:evenHBand="0" w:firstRowFirstColumn="0" w:firstRowLastColumn="0" w:lastRowFirstColumn="0" w:lastRowLastColumn="0"/>
            </w:pPr>
            <w:r w:rsidRPr="005C4E3B">
              <w:t>200,000 IU/ml of 10,000 IU</w:t>
            </w:r>
          </w:p>
        </w:tc>
        <w:tc>
          <w:tcPr>
            <w:tcW w:w="5197" w:type="dxa"/>
          </w:tcPr>
          <w:p w14:paraId="56B27C45"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r>
              <w:t>30 days for meat</w:t>
            </w:r>
          </w:p>
          <w:p w14:paraId="7882D23B" w14:textId="1856350A" w:rsidR="005C4E3B" w:rsidRDefault="005C4E3B" w:rsidP="005C4E3B">
            <w:pPr>
              <w:cnfStyle w:val="000000100000" w:firstRow="0" w:lastRow="0" w:firstColumn="0" w:lastColumn="0" w:oddVBand="0" w:evenVBand="0" w:oddHBand="1" w:evenHBand="0" w:firstRowFirstColumn="0" w:firstRowLastColumn="0" w:lastRowFirstColumn="0" w:lastRowLastColumn="0"/>
            </w:pPr>
            <w:r>
              <w:t>10 days for milk</w:t>
            </w:r>
          </w:p>
        </w:tc>
        <w:tc>
          <w:tcPr>
            <w:tcW w:w="4900" w:type="dxa"/>
          </w:tcPr>
          <w:p w14:paraId="4DC80803" w14:textId="4638918F" w:rsidR="005C4E3B" w:rsidRDefault="005C4E3B">
            <w:pPr>
              <w:cnfStyle w:val="000000100000" w:firstRow="0" w:lastRow="0" w:firstColumn="0" w:lastColumn="0" w:oddVBand="0" w:evenVBand="0" w:oddHBand="1" w:evenHBand="0" w:firstRowFirstColumn="0" w:firstRowLastColumn="0" w:lastRowFirstColumn="0" w:lastRowLastColumn="0"/>
            </w:pPr>
            <w:r w:rsidRPr="005C4E3B">
              <w:t>IM</w:t>
            </w:r>
          </w:p>
        </w:tc>
      </w:tr>
      <w:tr w:rsidR="002A1A2D" w14:paraId="7E8FF04E" w14:textId="77777777" w:rsidTr="00BF74CF">
        <w:trPr>
          <w:trHeight w:val="590"/>
        </w:trPr>
        <w:tc>
          <w:tcPr>
            <w:cnfStyle w:val="001000000000" w:firstRow="0" w:lastRow="0" w:firstColumn="1" w:lastColumn="0" w:oddVBand="0" w:evenVBand="0" w:oddHBand="0" w:evenHBand="0" w:firstRowFirstColumn="0" w:firstRowLastColumn="0" w:lastRowFirstColumn="0" w:lastRowLastColumn="0"/>
            <w:tcW w:w="4846" w:type="dxa"/>
          </w:tcPr>
          <w:p w14:paraId="714281BA" w14:textId="1BA61CB9" w:rsidR="002A1A2D" w:rsidRPr="002A1A2D" w:rsidRDefault="002A1A2D">
            <w:pPr>
              <w:rPr>
                <w:b/>
                <w:bCs/>
                <w:i w:val="0"/>
                <w:iCs w:val="0"/>
                <w:color w:val="BF8F00" w:themeColor="accent4" w:themeShade="BF"/>
                <w:sz w:val="32"/>
                <w:szCs w:val="32"/>
              </w:rPr>
            </w:pPr>
            <w:r w:rsidRPr="002A1A2D">
              <w:rPr>
                <w:b/>
                <w:bCs/>
                <w:i w:val="0"/>
                <w:iCs w:val="0"/>
                <w:color w:val="BF8F00" w:themeColor="accent4" w:themeShade="BF"/>
                <w:sz w:val="32"/>
                <w:szCs w:val="32"/>
              </w:rPr>
              <w:t>Reversal Drugs</w:t>
            </w:r>
          </w:p>
        </w:tc>
        <w:tc>
          <w:tcPr>
            <w:tcW w:w="16538" w:type="dxa"/>
            <w:gridSpan w:val="3"/>
          </w:tcPr>
          <w:p w14:paraId="69CD284D" w14:textId="77777777" w:rsidR="002A1A2D" w:rsidRPr="005C4E3B" w:rsidRDefault="002A1A2D">
            <w:pPr>
              <w:cnfStyle w:val="000000000000" w:firstRow="0" w:lastRow="0" w:firstColumn="0" w:lastColumn="0" w:oddVBand="0" w:evenVBand="0" w:oddHBand="0" w:evenHBand="0" w:firstRowFirstColumn="0" w:firstRowLastColumn="0" w:lastRowFirstColumn="0" w:lastRowLastColumn="0"/>
            </w:pPr>
          </w:p>
        </w:tc>
      </w:tr>
      <w:tr w:rsidR="005C4E3B" w14:paraId="350FFFC4"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3DFCBD40" w14:textId="64FAF562" w:rsidR="005C4E3B" w:rsidRPr="005C4E3B" w:rsidRDefault="005C4E3B">
            <w:r w:rsidRPr="005C4E3B">
              <w:t>Atropine</w:t>
            </w:r>
          </w:p>
        </w:tc>
        <w:tc>
          <w:tcPr>
            <w:tcW w:w="6441" w:type="dxa"/>
          </w:tcPr>
          <w:p w14:paraId="23F517C5" w14:textId="019EE84F" w:rsidR="005C4E3B" w:rsidRPr="005C4E3B" w:rsidRDefault="005C4E3B">
            <w:pPr>
              <w:cnfStyle w:val="000000100000" w:firstRow="0" w:lastRow="0" w:firstColumn="0" w:lastColumn="0" w:oddVBand="0" w:evenVBand="0" w:oddHBand="1" w:evenHBand="0" w:firstRowFirstColumn="0" w:firstRowLastColumn="0" w:lastRowFirstColumn="0" w:lastRowLastColumn="0"/>
            </w:pPr>
            <w:r w:rsidRPr="005C4E3B">
              <w:t>0.54 mg/ml of 0.04mg/kg</w:t>
            </w:r>
          </w:p>
        </w:tc>
        <w:tc>
          <w:tcPr>
            <w:tcW w:w="5197" w:type="dxa"/>
          </w:tcPr>
          <w:p w14:paraId="0C9D9A0A"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p>
        </w:tc>
        <w:tc>
          <w:tcPr>
            <w:tcW w:w="4900" w:type="dxa"/>
          </w:tcPr>
          <w:p w14:paraId="152B3153" w14:textId="76334678" w:rsidR="005C4E3B" w:rsidRPr="005C4E3B" w:rsidRDefault="005C4E3B">
            <w:pPr>
              <w:cnfStyle w:val="000000100000" w:firstRow="0" w:lastRow="0" w:firstColumn="0" w:lastColumn="0" w:oddVBand="0" w:evenVBand="0" w:oddHBand="1" w:evenHBand="0" w:firstRowFirstColumn="0" w:firstRowLastColumn="0" w:lastRowFirstColumn="0" w:lastRowLastColumn="0"/>
            </w:pPr>
            <w:r w:rsidRPr="005C4E3B">
              <w:t>IV/IM Used for Bradycardia</w:t>
            </w:r>
          </w:p>
        </w:tc>
      </w:tr>
      <w:tr w:rsidR="005C4E3B" w14:paraId="12AD4937" w14:textId="77777777" w:rsidTr="002A1A2D">
        <w:trPr>
          <w:trHeight w:val="590"/>
        </w:trPr>
        <w:tc>
          <w:tcPr>
            <w:cnfStyle w:val="001000000000" w:firstRow="0" w:lastRow="0" w:firstColumn="1" w:lastColumn="0" w:oddVBand="0" w:evenVBand="0" w:oddHBand="0" w:evenHBand="0" w:firstRowFirstColumn="0" w:firstRowLastColumn="0" w:lastRowFirstColumn="0" w:lastRowLastColumn="0"/>
            <w:tcW w:w="4846" w:type="dxa"/>
          </w:tcPr>
          <w:p w14:paraId="40F880E6" w14:textId="27A6BCD3" w:rsidR="005C4E3B" w:rsidRPr="005C4E3B" w:rsidRDefault="005C4E3B">
            <w:r w:rsidRPr="005C4E3B">
              <w:t>Epinephrine</w:t>
            </w:r>
          </w:p>
        </w:tc>
        <w:tc>
          <w:tcPr>
            <w:tcW w:w="6441" w:type="dxa"/>
          </w:tcPr>
          <w:p w14:paraId="1875CAF4" w14:textId="448ED3A6" w:rsidR="005C4E3B" w:rsidRPr="005C4E3B" w:rsidRDefault="005C4E3B">
            <w:pPr>
              <w:cnfStyle w:val="000000000000" w:firstRow="0" w:lastRow="0" w:firstColumn="0" w:lastColumn="0" w:oddVBand="0" w:evenVBand="0" w:oddHBand="0" w:evenHBand="0" w:firstRowFirstColumn="0" w:firstRowLastColumn="0" w:lastRowFirstColumn="0" w:lastRowLastColumn="0"/>
            </w:pPr>
            <w:r w:rsidRPr="005C4E3B">
              <w:t>1 % of 0.02 mg/kg</w:t>
            </w:r>
          </w:p>
        </w:tc>
        <w:tc>
          <w:tcPr>
            <w:tcW w:w="5197" w:type="dxa"/>
          </w:tcPr>
          <w:p w14:paraId="79F7AC7B" w14:textId="77777777" w:rsidR="005C4E3B" w:rsidRDefault="005C4E3B" w:rsidP="005C4E3B">
            <w:pPr>
              <w:cnfStyle w:val="000000000000" w:firstRow="0" w:lastRow="0" w:firstColumn="0" w:lastColumn="0" w:oddVBand="0" w:evenVBand="0" w:oddHBand="0" w:evenHBand="0" w:firstRowFirstColumn="0" w:firstRowLastColumn="0" w:lastRowFirstColumn="0" w:lastRowLastColumn="0"/>
            </w:pPr>
          </w:p>
        </w:tc>
        <w:tc>
          <w:tcPr>
            <w:tcW w:w="4900" w:type="dxa"/>
          </w:tcPr>
          <w:p w14:paraId="551ACA51" w14:textId="77777777" w:rsidR="005C4E3B" w:rsidRDefault="005C4E3B" w:rsidP="005C4E3B">
            <w:pPr>
              <w:cnfStyle w:val="000000000000" w:firstRow="0" w:lastRow="0" w:firstColumn="0" w:lastColumn="0" w:oddVBand="0" w:evenVBand="0" w:oddHBand="0" w:evenHBand="0" w:firstRowFirstColumn="0" w:firstRowLastColumn="0" w:lastRowFirstColumn="0" w:lastRowLastColumn="0"/>
            </w:pPr>
            <w:r>
              <w:t>IM</w:t>
            </w:r>
          </w:p>
          <w:p w14:paraId="2DA0F394" w14:textId="7FD06E3F" w:rsidR="005C4E3B" w:rsidRPr="005C4E3B" w:rsidRDefault="005C4E3B" w:rsidP="005C4E3B">
            <w:pPr>
              <w:cnfStyle w:val="000000000000" w:firstRow="0" w:lastRow="0" w:firstColumn="0" w:lastColumn="0" w:oddVBand="0" w:evenVBand="0" w:oddHBand="0" w:evenHBand="0" w:firstRowFirstColumn="0" w:firstRowLastColumn="0" w:lastRowFirstColumn="0" w:lastRowLastColumn="0"/>
            </w:pPr>
            <w:r>
              <w:t>Used for anaphylactic shock</w:t>
            </w:r>
          </w:p>
        </w:tc>
      </w:tr>
      <w:tr w:rsidR="005C4E3B" w14:paraId="130F112B" w14:textId="77777777" w:rsidTr="002A1A2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46" w:type="dxa"/>
          </w:tcPr>
          <w:p w14:paraId="3A4BEBE3" w14:textId="423F58F9" w:rsidR="005C4E3B" w:rsidRPr="005C4E3B" w:rsidRDefault="005C4E3B">
            <w:r w:rsidRPr="005C4E3B">
              <w:t>Tolazoline</w:t>
            </w:r>
          </w:p>
        </w:tc>
        <w:tc>
          <w:tcPr>
            <w:tcW w:w="6441" w:type="dxa"/>
          </w:tcPr>
          <w:p w14:paraId="0DA53E6E" w14:textId="2AD8307B" w:rsidR="005C4E3B" w:rsidRPr="005C4E3B" w:rsidRDefault="005C4E3B">
            <w:pPr>
              <w:cnfStyle w:val="000000100000" w:firstRow="0" w:lastRow="0" w:firstColumn="0" w:lastColumn="0" w:oddVBand="0" w:evenVBand="0" w:oddHBand="1" w:evenHBand="0" w:firstRowFirstColumn="0" w:firstRowLastColumn="0" w:lastRowFirstColumn="0" w:lastRowLastColumn="0"/>
            </w:pPr>
            <w:r w:rsidRPr="005C4E3B">
              <w:t>10 % of Recommended 2-4 times xylazine dose (0.05 mg/kg – 0.1 mg/kg)</w:t>
            </w:r>
          </w:p>
        </w:tc>
        <w:tc>
          <w:tcPr>
            <w:tcW w:w="5197" w:type="dxa"/>
          </w:tcPr>
          <w:p w14:paraId="1758C912" w14:textId="77777777" w:rsidR="005C4E3B" w:rsidRDefault="005C4E3B" w:rsidP="005C4E3B">
            <w:pPr>
              <w:cnfStyle w:val="000000100000" w:firstRow="0" w:lastRow="0" w:firstColumn="0" w:lastColumn="0" w:oddVBand="0" w:evenVBand="0" w:oddHBand="1" w:evenHBand="0" w:firstRowFirstColumn="0" w:firstRowLastColumn="0" w:lastRowFirstColumn="0" w:lastRowLastColumn="0"/>
            </w:pPr>
          </w:p>
        </w:tc>
        <w:tc>
          <w:tcPr>
            <w:tcW w:w="4900" w:type="dxa"/>
          </w:tcPr>
          <w:p w14:paraId="4426797A" w14:textId="285B0C1C" w:rsidR="005C4E3B" w:rsidRPr="005C4E3B" w:rsidRDefault="005C4E3B">
            <w:pPr>
              <w:cnfStyle w:val="000000100000" w:firstRow="0" w:lastRow="0" w:firstColumn="0" w:lastColumn="0" w:oddVBand="0" w:evenVBand="0" w:oddHBand="1" w:evenHBand="0" w:firstRowFirstColumn="0" w:firstRowLastColumn="0" w:lastRowFirstColumn="0" w:lastRowLastColumn="0"/>
            </w:pPr>
            <w:r w:rsidRPr="005C4E3B">
              <w:t>IV slowly Used to reverse xylazine. If signs of xylazine toxicity (bradycardia, hypotension) are seen administer the lower limit, 0.125ml. If signs continue after some time add 0.125 ml or less to reach the upper limit. BUT do not cross the upper limit.</w:t>
            </w:r>
          </w:p>
        </w:tc>
      </w:tr>
    </w:tbl>
    <w:p w14:paraId="5916586C" w14:textId="77777777" w:rsidR="00A31A23" w:rsidRDefault="00A31A23"/>
    <w:sectPr w:rsidR="00A31A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0A9A"/>
    <w:multiLevelType w:val="multilevel"/>
    <w:tmpl w:val="B478D176"/>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23"/>
    <w:rsid w:val="0015364B"/>
    <w:rsid w:val="00204EA8"/>
    <w:rsid w:val="00280454"/>
    <w:rsid w:val="002A1A2D"/>
    <w:rsid w:val="002D6E77"/>
    <w:rsid w:val="005C4E3B"/>
    <w:rsid w:val="0060405D"/>
    <w:rsid w:val="008E00C3"/>
    <w:rsid w:val="00A31A23"/>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B051"/>
  <w15:chartTrackingRefBased/>
  <w15:docId w15:val="{870C5463-4330-4EBB-BA94-A5DB8FFB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A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A23"/>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280454"/>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uiPriority w:val="99"/>
    <w:rsid w:val="002A1A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5Dark-Accent6">
    <w:name w:val="Grid Table 5 Dark Accent 6"/>
    <w:basedOn w:val="TableNormal"/>
    <w:uiPriority w:val="50"/>
    <w:rsid w:val="002A1A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2A1A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7Colorful-Accent1">
    <w:name w:val="Grid Table 7 Colorful Accent 1"/>
    <w:basedOn w:val="TableNormal"/>
    <w:uiPriority w:val="52"/>
    <w:rsid w:val="002A1A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chanique blair</cp:lastModifiedBy>
  <cp:revision>2</cp:revision>
  <dcterms:created xsi:type="dcterms:W3CDTF">2019-11-24T04:50:00Z</dcterms:created>
  <dcterms:modified xsi:type="dcterms:W3CDTF">2019-11-24T04:50:00Z</dcterms:modified>
</cp:coreProperties>
</file>