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AEB85" w14:textId="77777777" w:rsidR="00F919F9" w:rsidRPr="00F919F9" w:rsidRDefault="00F919F9" w:rsidP="00F919F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TT"/>
        </w:rPr>
      </w:pPr>
      <w:bookmarkStart w:id="0" w:name="_GoBack"/>
      <w:r w:rsidRPr="00F919F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en-TT"/>
        </w:rPr>
        <w:t>Second degree laceration</w:t>
      </w:r>
    </w:p>
    <w:bookmarkEnd w:id="0"/>
    <w:p w14:paraId="5BFA2A00" w14:textId="77777777" w:rsidR="00F919F9" w:rsidRPr="00F919F9" w:rsidRDefault="00F919F9" w:rsidP="00F9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272A364A" w14:textId="77777777" w:rsidR="00F919F9" w:rsidRPr="00F919F9" w:rsidRDefault="00F919F9" w:rsidP="00F9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F919F9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Submucosa and muscularis of the vulva, anal sphincter, and perineal body lacerated but there is no damage to the rectal mucosa.</w:t>
      </w:r>
    </w:p>
    <w:p w14:paraId="19718B21" w14:textId="77777777" w:rsidR="00F919F9" w:rsidRPr="00F919F9" w:rsidRDefault="00F919F9" w:rsidP="00F9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33F32716" w14:textId="77777777" w:rsidR="00F919F9" w:rsidRPr="00F919F9" w:rsidRDefault="00F919F9" w:rsidP="00F9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F91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TT"/>
        </w:rPr>
        <w:t>Clinical signs</w:t>
      </w:r>
    </w:p>
    <w:p w14:paraId="122F5661" w14:textId="77777777" w:rsidR="00F919F9" w:rsidRPr="00F919F9" w:rsidRDefault="00F919F9" w:rsidP="00F9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F919F9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Second-degree lacerations may only be evident on physical inspection of the caudal reproductive tract manually and/or with a vaginal speculum.</w:t>
      </w:r>
    </w:p>
    <w:p w14:paraId="3D11837B" w14:textId="77777777" w:rsidR="00F919F9" w:rsidRPr="00F919F9" w:rsidRDefault="00F919F9" w:rsidP="00F9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14:paraId="63EDE105" w14:textId="77777777" w:rsidR="00F919F9" w:rsidRPr="00F919F9" w:rsidRDefault="00F919F9" w:rsidP="00F9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F91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TT"/>
        </w:rPr>
        <w:t>Treatment plan</w:t>
      </w:r>
    </w:p>
    <w:p w14:paraId="37DE66C4" w14:textId="77777777" w:rsidR="00F919F9" w:rsidRPr="00F919F9" w:rsidRDefault="00F919F9" w:rsidP="00F9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F919F9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Second-degree lacerations may need an </w:t>
      </w:r>
      <w:proofErr w:type="spellStart"/>
      <w:r w:rsidRPr="00F919F9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episioplasty</w:t>
      </w:r>
      <w:proofErr w:type="spellEnd"/>
      <w:r w:rsidRPr="00F919F9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and/or perineal body reconstruction.</w:t>
      </w:r>
    </w:p>
    <w:p w14:paraId="6A1940E5" w14:textId="77777777" w:rsidR="00F919F9" w:rsidRPr="00F919F9" w:rsidRDefault="00F919F9" w:rsidP="00F9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F919F9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If tissue damage has caused significant </w:t>
      </w:r>
      <w:proofErr w:type="spellStart"/>
      <w:r w:rsidRPr="00F919F9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edema</w:t>
      </w:r>
      <w:proofErr w:type="spellEnd"/>
      <w:r w:rsidRPr="00F919F9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, inflammation, and infection, surgical correction may be postponed for 2 to 4 weeks.</w:t>
      </w:r>
    </w:p>
    <w:p w14:paraId="65DB8D45" w14:textId="77777777" w:rsidR="00F919F9" w:rsidRPr="00F919F9" w:rsidRDefault="00F919F9" w:rsidP="00F919F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F919F9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Clean the wound with povidone-iodine solution </w:t>
      </w:r>
      <w:proofErr w:type="spellStart"/>
      <w:r w:rsidRPr="00F919F9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solution</w:t>
      </w:r>
      <w:proofErr w:type="spellEnd"/>
      <w:r w:rsidRPr="00F919F9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(Betadine) and absorb excess fluid with moistened cotton.</w:t>
      </w:r>
    </w:p>
    <w:p w14:paraId="32C7887A" w14:textId="77777777" w:rsidR="00F919F9" w:rsidRPr="00F919F9" w:rsidRDefault="00F919F9" w:rsidP="00F919F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F919F9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Use a pair of malleable retractors to visualize and evaluate the affected site. Suture laceration if possible.</w:t>
      </w:r>
    </w:p>
    <w:p w14:paraId="2BCB8631" w14:textId="77777777" w:rsidR="00F919F9" w:rsidRPr="00F919F9" w:rsidRDefault="00F919F9" w:rsidP="00F919F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F919F9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Initially, systemic antibiotic (</w:t>
      </w:r>
      <w:r w:rsidRPr="00F91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TT"/>
        </w:rPr>
        <w:t>Procaine Penicillin)</w:t>
      </w:r>
      <w:r w:rsidRPr="00F919F9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and anti-inflammatory (</w:t>
      </w:r>
      <w:r w:rsidRPr="00F919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TT"/>
        </w:rPr>
        <w:t>Flunixin meglumine)</w:t>
      </w:r>
      <w:r w:rsidRPr="00F919F9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 xml:space="preserve"> treatment is administered for the acute trauma.</w:t>
      </w:r>
    </w:p>
    <w:p w14:paraId="39E7BF6C" w14:textId="77777777" w:rsidR="00F919F9" w:rsidRPr="00F919F9" w:rsidRDefault="00F919F9" w:rsidP="00F919F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F919F9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If pain prevents normal micturition, apply a catheter.</w:t>
      </w:r>
    </w:p>
    <w:p w14:paraId="0AA75FDD" w14:textId="77777777" w:rsidR="00F919F9" w:rsidRPr="00F919F9" w:rsidRDefault="00F919F9" w:rsidP="00F919F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F919F9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If there is severe haemorrhage, use finger and haemostats to find and ligate vessel if possible.</w:t>
      </w:r>
    </w:p>
    <w:p w14:paraId="52155BA7" w14:textId="77777777" w:rsidR="00F919F9" w:rsidRPr="00F919F9" w:rsidRDefault="00F919F9" w:rsidP="00F919F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F919F9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If ligation not possible, pack vestibule and vagina with sponges.</w:t>
      </w:r>
    </w:p>
    <w:p w14:paraId="186A029E" w14:textId="77777777" w:rsidR="00F919F9" w:rsidRPr="00F919F9" w:rsidRDefault="00F919F9" w:rsidP="00F919F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</w:pPr>
      <w:r w:rsidRPr="00F919F9">
        <w:rPr>
          <w:rFonts w:ascii="Times New Roman" w:eastAsia="Times New Roman" w:hAnsi="Times New Roman" w:cs="Times New Roman"/>
          <w:color w:val="000000"/>
          <w:sz w:val="24"/>
          <w:szCs w:val="24"/>
          <w:lang w:eastAsia="en-TT"/>
        </w:rPr>
        <w:t>Surgical intervention if conditions do not improve. </w:t>
      </w:r>
    </w:p>
    <w:p w14:paraId="0931210F" w14:textId="77777777" w:rsidR="00714C76" w:rsidRDefault="00714C76"/>
    <w:sectPr w:rsidR="00714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310E5"/>
    <w:multiLevelType w:val="multilevel"/>
    <w:tmpl w:val="A584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0A3440"/>
    <w:multiLevelType w:val="multilevel"/>
    <w:tmpl w:val="5EAA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F9"/>
    <w:rsid w:val="00714C76"/>
    <w:rsid w:val="00F9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FC327"/>
  <w15:chartTrackingRefBased/>
  <w15:docId w15:val="{594223BC-B352-4FFC-9E3B-733C00FC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raina.nowbutt</dc:creator>
  <cp:keywords/>
  <dc:description/>
  <cp:lastModifiedBy>raina.nowbutt</cp:lastModifiedBy>
  <cp:revision>1</cp:revision>
  <dcterms:created xsi:type="dcterms:W3CDTF">2020-10-19T12:45:00Z</dcterms:created>
  <dcterms:modified xsi:type="dcterms:W3CDTF">2020-10-19T12:46:00Z</dcterms:modified>
</cp:coreProperties>
</file>