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570D" w14:textId="77777777" w:rsidR="00AE5B4F" w:rsidRDefault="00AE5B4F">
      <w:pPr>
        <w:rPr>
          <w:rFonts w:ascii="Times New Roman" w:eastAsia="Times New Roman" w:hAnsi="Times New Roman" w:cs="Times New Roman"/>
          <w:b/>
        </w:rPr>
      </w:pPr>
    </w:p>
    <w:p w14:paraId="221A9C17" w14:textId="22CC791A" w:rsidR="00AE5B4F" w:rsidRPr="00B76209" w:rsidRDefault="00976073">
      <w:pPr>
        <w:rPr>
          <w:rFonts w:asciiTheme="majorHAnsi" w:eastAsia="Times New Roman" w:hAnsiTheme="majorHAnsi" w:cstheme="majorHAnsi"/>
          <w:b/>
        </w:rPr>
      </w:pPr>
      <w:r w:rsidRPr="00B76209">
        <w:rPr>
          <w:rFonts w:asciiTheme="majorHAnsi" w:eastAsia="Times New Roman" w:hAnsiTheme="majorHAnsi" w:cstheme="majorHAnsi"/>
          <w:b/>
          <w:highlight w:val="yellow"/>
        </w:rPr>
        <w:t xml:space="preserve">Pretend the severed Head we practiced ocular surgeries on is attached to </w:t>
      </w:r>
      <w:r w:rsidR="00B76209" w:rsidRPr="00B76209">
        <w:rPr>
          <w:rFonts w:asciiTheme="majorHAnsi" w:eastAsia="Times New Roman" w:hAnsiTheme="majorHAnsi" w:cstheme="majorHAnsi"/>
          <w:b/>
          <w:highlight w:val="yellow"/>
        </w:rPr>
        <w:t xml:space="preserve">an animal whose weight is </w:t>
      </w:r>
      <w:r w:rsidR="00B76209" w:rsidRPr="00B76209">
        <w:rPr>
          <w:rFonts w:asciiTheme="majorHAnsi" w:eastAsia="Times New Roman" w:hAnsiTheme="majorHAnsi" w:cstheme="majorHAnsi"/>
          <w:b/>
          <w:highlight w:val="yellow"/>
        </w:rPr>
        <w:t>400kg</w:t>
      </w:r>
    </w:p>
    <w:tbl>
      <w:tblPr>
        <w:tblStyle w:val="a"/>
        <w:tblW w:w="15240" w:type="dxa"/>
        <w:tblInd w:w="-1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580"/>
        <w:gridCol w:w="2190"/>
        <w:gridCol w:w="3195"/>
        <w:gridCol w:w="2035"/>
        <w:gridCol w:w="1080"/>
        <w:gridCol w:w="1730"/>
        <w:gridCol w:w="2295"/>
      </w:tblGrid>
      <w:tr w:rsidR="00AE5B4F" w:rsidRPr="00B76209" w14:paraId="5C051FC3" w14:textId="77777777" w:rsidTr="00F55116">
        <w:trPr>
          <w:trHeight w:val="600"/>
        </w:trPr>
        <w:tc>
          <w:tcPr>
            <w:tcW w:w="1135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D653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 xml:space="preserve">Drug </w:t>
            </w:r>
          </w:p>
        </w:tc>
        <w:tc>
          <w:tcPr>
            <w:tcW w:w="1580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5224B" w14:textId="1AAC219D" w:rsidR="00AE5B4F" w:rsidRPr="00B76209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Active Ingredient</w:t>
            </w:r>
          </w:p>
        </w:tc>
        <w:tc>
          <w:tcPr>
            <w:tcW w:w="2190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5FB4" w14:textId="77777777" w:rsidR="00AE5B4F" w:rsidRPr="00B76209" w:rsidRDefault="00B7620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Uses</w:t>
            </w:r>
          </w:p>
        </w:tc>
        <w:tc>
          <w:tcPr>
            <w:tcW w:w="3195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48AA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 xml:space="preserve">Contraindications </w:t>
            </w:r>
          </w:p>
        </w:tc>
        <w:tc>
          <w:tcPr>
            <w:tcW w:w="2035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9E83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Adverse effects</w:t>
            </w:r>
          </w:p>
        </w:tc>
        <w:tc>
          <w:tcPr>
            <w:tcW w:w="1080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F211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WDT</w:t>
            </w:r>
          </w:p>
        </w:tc>
        <w:tc>
          <w:tcPr>
            <w:tcW w:w="1730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2DEC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Concentration and Dose</w:t>
            </w:r>
          </w:p>
        </w:tc>
        <w:tc>
          <w:tcPr>
            <w:tcW w:w="2295" w:type="dxa"/>
            <w:shd w:val="clear" w:color="auto" w:fill="403152" w:themeFill="accent4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95F8" w14:textId="77777777" w:rsidR="00AE5B4F" w:rsidRPr="00B76209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B76209">
              <w:rPr>
                <w:rFonts w:asciiTheme="majorHAnsi" w:eastAsia="Times New Roman" w:hAnsiTheme="majorHAnsi" w:cstheme="majorHAnsi"/>
                <w:b/>
              </w:rPr>
              <w:t>Calculations</w:t>
            </w:r>
          </w:p>
        </w:tc>
      </w:tr>
      <w:tr w:rsidR="00F55116" w:rsidRPr="00976073" w14:paraId="5313D353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5F6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Xylazine 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97512" w14:textId="58923975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Xylazine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0E46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Alpha-2 adrenoceptor stimulant resulting in sedation, muscle relaxation and analgesia.</w:t>
            </w:r>
          </w:p>
          <w:p w14:paraId="0669925D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Short term sedation.</w:t>
            </w:r>
          </w:p>
          <w:p w14:paraId="1B20A1B9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Prior to ketamine for general anesthesia.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08ED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Do not use in: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Animals with cardiac or respiratory disease;  animals with renal or hepatic failure; anima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ls with hypotension/hypovolemia; last trimester of pregnancy (except at parturition); cattle receiving ovum implants (the increased uterine tone caused by the xylazine may prevent implantation). </w:t>
            </w:r>
          </w:p>
          <w:p w14:paraId="00085A52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 not give to ruminants that are debilitated, dehydrated, o</w:t>
            </w:r>
            <w:r w:rsidRPr="00976073">
              <w:rPr>
                <w:rFonts w:asciiTheme="majorHAnsi" w:eastAsia="Times New Roman" w:hAnsiTheme="majorHAnsi" w:cstheme="majorHAnsi"/>
              </w:rPr>
              <w:t>r with urinary tract obstruction.</w:t>
            </w:r>
          </w:p>
          <w:p w14:paraId="5B7DB6AE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Cattle are extremely sensitive to xylazine’s effects; be certain of dose and dosage form.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2894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Sweating, Piloerection, Tremors, Ruminal tympany, Hypersalivation, Diuresis, Prolapse of penis, Regurgitation, hypothermia, diarrhea</w:t>
            </w:r>
            <w:r w:rsidRPr="00976073">
              <w:rPr>
                <w:rFonts w:asciiTheme="majorHAnsi" w:eastAsia="Times New Roman" w:hAnsiTheme="majorHAnsi" w:cstheme="majorHAnsi"/>
              </w:rPr>
              <w:t>, bradycardia, premature parturition &amp; ataxia.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5E1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Meat: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14 days</w:t>
            </w:r>
          </w:p>
          <w:p w14:paraId="3E28F477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Milk: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48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hrs</w:t>
            </w:r>
            <w:proofErr w:type="spellEnd"/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5E59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 rate: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0.05 mg/kg</w:t>
            </w:r>
          </w:p>
          <w:p w14:paraId="1B2B47B6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20mg/ml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E09D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(D x W)/C</w:t>
            </w:r>
          </w:p>
          <w:p w14:paraId="2D37DC86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V= (0.05 x 400)/20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= 1ml</w:t>
            </w:r>
          </w:p>
        </w:tc>
      </w:tr>
      <w:tr w:rsidR="00F55116" w:rsidRPr="00976073" w14:paraId="5F728736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FE67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>Ketamine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29ACD" w14:textId="77777777" w:rsidR="00AE5B4F" w:rsidRPr="00976073" w:rsidRDefault="00B76209" w:rsidP="00F55116">
            <w:pP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2-(2-chlorophenyl)-2-(methylamino)cyclohexan-1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54BC" w14:textId="77777777" w:rsidR="00AE5B4F" w:rsidRPr="00976073" w:rsidRDefault="00B76209">
            <w:pP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Used to achieve general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anaesthesia</w:t>
            </w:r>
            <w:proofErr w:type="spellEnd"/>
            <w:r w:rsidRPr="00976073">
              <w:rPr>
                <w:rFonts w:asciiTheme="majorHAnsi" w:eastAsia="Times New Roman" w:hAnsiTheme="majorHAnsi" w:cstheme="majorHAnsi"/>
              </w:rPr>
              <w:t xml:space="preserve"> during surgery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74DB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Use in patients with significant hypertension, heart failure, and arterial aneurysms could be dangerous. Should not be used alone because it doesn’t cause mus</w:t>
            </w:r>
            <w:r w:rsidRPr="00976073">
              <w:rPr>
                <w:rFonts w:asciiTheme="majorHAnsi" w:eastAsia="Times New Roman" w:hAnsiTheme="majorHAnsi" w:cstheme="majorHAnsi"/>
              </w:rPr>
              <w:t>cle relaxation. Don’t use in animals with seizures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E29F" w14:textId="77777777" w:rsidR="00AE5B4F" w:rsidRPr="00976073" w:rsidRDefault="00B76209">
            <w:pPr>
              <w:spacing w:before="200" w:after="16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Inability to move, rigid muscles; high body temperature; fast heartbeat; convulsions; coma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and ‘near death’ experiences; death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9C97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>Meat: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3 days</w:t>
            </w:r>
          </w:p>
          <w:p w14:paraId="53D93ADA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Milk: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48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hrs</w:t>
            </w:r>
            <w:proofErr w:type="spellEnd"/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97EF" w14:textId="77777777" w:rsidR="00AE5B4F" w:rsidRPr="00976073" w:rsidRDefault="00B76209">
            <w:pPr>
              <w:keepNext/>
              <w:keepLines/>
              <w:spacing w:before="200" w:after="16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100mg/ml</w:t>
            </w:r>
          </w:p>
          <w:p w14:paraId="37D88464" w14:textId="77777777" w:rsidR="00AE5B4F" w:rsidRPr="00976073" w:rsidRDefault="00AE5B4F">
            <w:pPr>
              <w:keepNext/>
              <w:keepLines/>
              <w:spacing w:before="200" w:after="160" w:line="240" w:lineRule="auto"/>
              <w:rPr>
                <w:rFonts w:asciiTheme="majorHAnsi" w:eastAsia="Times New Roman" w:hAnsiTheme="majorHAnsi" w:cstheme="majorHAnsi"/>
              </w:rPr>
            </w:pPr>
          </w:p>
          <w:p w14:paraId="085BBEA2" w14:textId="77777777" w:rsidR="00AE5B4F" w:rsidRPr="00976073" w:rsidRDefault="00B76209">
            <w:pPr>
              <w:keepNext/>
              <w:keepLines/>
              <w:spacing w:before="200" w:after="16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Dose: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2 mg/kg IV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F936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V = (D x </w:t>
            </w:r>
            <w:r w:rsidRPr="00976073">
              <w:rPr>
                <w:rFonts w:asciiTheme="majorHAnsi" w:eastAsia="Times New Roman" w:hAnsiTheme="majorHAnsi" w:cstheme="majorHAnsi"/>
              </w:rPr>
              <w:t>W)/C</w:t>
            </w:r>
          </w:p>
          <w:p w14:paraId="00E1547A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(2 x 400)/100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 = 8ml</w:t>
            </w:r>
          </w:p>
        </w:tc>
      </w:tr>
      <w:tr w:rsidR="00F55116" w:rsidRPr="00976073" w14:paraId="7683B03D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19F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>Lidocaine 2%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37EAF" w14:textId="7CB32AE5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Lidocaine Hydrochloride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EADF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Blocks conduction of nerve fibers resulting in muscle paralysis and loss of sensation.</w:t>
            </w:r>
            <w:r w:rsidRPr="00976073">
              <w:rPr>
                <w:rFonts w:asciiTheme="majorHAnsi" w:eastAsia="Times New Roman" w:hAnsiTheme="majorHAnsi" w:cstheme="majorHAnsi"/>
              </w:rPr>
              <w:br/>
            </w:r>
            <w:r w:rsidRPr="00976073">
              <w:rPr>
                <w:rFonts w:asciiTheme="majorHAnsi" w:eastAsia="Times New Roman" w:hAnsiTheme="majorHAnsi" w:cstheme="majorHAnsi"/>
              </w:rPr>
              <w:t>Also blocks conduction pathways in myocardial cells, which is usually seen as a toxic effect of regional anesthesia but can be useful in the treatment of ventricular tachycardia.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A local anesthetic and a class 1B antiarrhythmic agent.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Used for topical, inf</w:t>
            </w:r>
            <w:r w:rsidRPr="00976073">
              <w:rPr>
                <w:rFonts w:asciiTheme="majorHAnsi" w:eastAsia="Times New Roman" w:hAnsiTheme="majorHAnsi" w:cstheme="majorHAnsi"/>
              </w:rPr>
              <w:t>iltration, intravenous, regional, and conduction anesthesia.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Extradural and spinal injection.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Decreases the rate of ventricular firing, action potential duration, absolute refractory period and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increases relative refractory period.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4B0D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>When used with epinephri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ne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Epinephrine</w:t>
            </w:r>
            <w:proofErr w:type="spellEnd"/>
            <w:r w:rsidRPr="00976073">
              <w:rPr>
                <w:rFonts w:asciiTheme="majorHAnsi" w:eastAsia="Times New Roman" w:hAnsiTheme="majorHAnsi" w:cstheme="majorHAnsi"/>
              </w:rPr>
              <w:t>:</w:t>
            </w:r>
          </w:p>
          <w:p w14:paraId="7105E39F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Intra-articular administration.</w:t>
            </w:r>
          </w:p>
          <w:p w14:paraId="09FA49EB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Epidural administration </w:t>
            </w:r>
          </w:p>
          <w:p w14:paraId="61F27949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Intradigital</w:t>
            </w:r>
            <w:proofErr w:type="spellEnd"/>
            <w:r w:rsidRPr="00976073">
              <w:rPr>
                <w:rFonts w:asciiTheme="majorHAnsi" w:eastAsia="Times New Roman" w:hAnsiTheme="majorHAnsi" w:cstheme="majorHAnsi"/>
              </w:rPr>
              <w:t xml:space="preserve"> administration.</w:t>
            </w:r>
          </w:p>
          <w:p w14:paraId="2E23D936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Intravenous administration.</w:t>
            </w:r>
          </w:p>
          <w:p w14:paraId="3050B17A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the treatment of ventricular arrhythmias.</w:t>
            </w:r>
          </w:p>
          <w:p w14:paraId="22B56C64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Cardiac and hepatic insufficiency.</w:t>
            </w:r>
          </w:p>
          <w:p w14:paraId="250BEE5A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CB1C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Convulsions followed by CNS depression with overdoses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D7E6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Meat: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4 days</w:t>
            </w:r>
          </w:p>
          <w:p w14:paraId="528E6D8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Milk: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72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hrs</w:t>
            </w:r>
            <w:proofErr w:type="spellEnd"/>
          </w:p>
          <w:p w14:paraId="3D0C4E6D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6D89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 20mg/ml</w:t>
            </w:r>
          </w:p>
          <w:p w14:paraId="7C5BF49C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1.0mg/kg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0EB0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(D x W)/C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 = 1 x 400/20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 = 20ml</w:t>
            </w:r>
          </w:p>
          <w:p w14:paraId="72746641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the case of anesthetizing the eye (subconjunctival injection) no more than 1ml should be gi</w:t>
            </w:r>
            <w:r w:rsidRPr="00976073">
              <w:rPr>
                <w:rFonts w:asciiTheme="majorHAnsi" w:eastAsia="Times New Roman" w:hAnsiTheme="majorHAnsi" w:cstheme="majorHAnsi"/>
              </w:rPr>
              <w:t>ven</w:t>
            </w:r>
          </w:p>
        </w:tc>
      </w:tr>
      <w:tr w:rsidR="00F55116" w:rsidRPr="00976073" w14:paraId="70F15B49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124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976073">
              <w:rPr>
                <w:rFonts w:asciiTheme="majorHAnsi" w:eastAsia="Times New Roman" w:hAnsiTheme="majorHAnsi" w:cstheme="majorHAnsi"/>
                <w:b/>
              </w:rPr>
              <w:t>Tolazine</w:t>
            </w:r>
            <w:proofErr w:type="spellEnd"/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8927" w14:textId="77777777" w:rsidR="00AE5B4F" w:rsidRPr="00976073" w:rsidRDefault="00B76209" w:rsidP="00F55116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Tolazoline hydrochloride.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7DD4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Sedative antagonist.</w:t>
            </w:r>
          </w:p>
          <w:p w14:paraId="4DEBEDA1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Alpha-adrenoceptor blocking drug</w:t>
            </w:r>
          </w:p>
          <w:p w14:paraId="6F081B7E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Reverses sedative effects of xylazine.</w:t>
            </w:r>
          </w:p>
          <w:p w14:paraId="2513A118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Xylazine is an alpha2-adrenoceptor agonist. Tolazoline blocks alpha2-adrenoreceptors and displaces xylazine from these sites.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D3FB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animals showing signs of stress.</w:t>
            </w:r>
          </w:p>
          <w:p w14:paraId="162C4237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debilitated animals.</w:t>
            </w:r>
          </w:p>
          <w:p w14:paraId="3AF4FF8A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animals with cardiac disease.</w:t>
            </w:r>
          </w:p>
          <w:p w14:paraId="63FC1684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animals with hypovolemia or shock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A76F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Gastrointestinal disturbances</w:t>
            </w:r>
          </w:p>
          <w:p w14:paraId="563C333A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Tachycardia.</w:t>
            </w:r>
          </w:p>
          <w:p w14:paraId="5E86131B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Mild hypertension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E73F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Meat: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96 hours </w:t>
            </w:r>
          </w:p>
          <w:p w14:paraId="568F4011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Milk: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48 </w:t>
            </w: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hrs</w:t>
            </w:r>
            <w:proofErr w:type="spellEnd"/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A065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20mg/ml</w:t>
            </w:r>
          </w:p>
          <w:p w14:paraId="30AB22D3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 rate: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0.1mg/kg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D437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(D x W)/C</w:t>
            </w:r>
          </w:p>
          <w:p w14:paraId="00D11A7A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(0.1 x 400)/20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 = 2 ml</w:t>
            </w:r>
          </w:p>
        </w:tc>
      </w:tr>
      <w:tr w:rsidR="00F55116" w:rsidRPr="00976073" w14:paraId="1BB8BB51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FCB9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>Proparacaine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73EAA" w14:textId="77777777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Proparacaine Hydrochloride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EA89" w14:textId="307F4E38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Anaesthetize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 the cornea of eye for examination, minor surgeries, removal of foreign bodies, catheterization or suture removal involving the eye.</w:t>
            </w:r>
          </w:p>
          <w:p w14:paraId="17913707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  <w:p w14:paraId="38F8D64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76073">
              <w:rPr>
                <w:rFonts w:asciiTheme="majorHAnsi" w:eastAsia="Times New Roman" w:hAnsiTheme="majorHAnsi" w:cstheme="majorHAnsi"/>
              </w:rPr>
              <w:t>Dont</w:t>
            </w:r>
            <w:proofErr w:type="spellEnd"/>
            <w:r w:rsidRPr="00976073">
              <w:rPr>
                <w:rFonts w:asciiTheme="majorHAnsi" w:eastAsia="Times New Roman" w:hAnsiTheme="majorHAnsi" w:cstheme="majorHAnsi"/>
              </w:rPr>
              <w:t xml:space="preserve"> affect the pupil size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D16A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Prolonged use may produce permanent corneal opacification with visual loss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A501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Prolonged use may delay wound healing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D481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None </w:t>
            </w:r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3B17" w14:textId="77777777" w:rsidR="00AE5B4F" w:rsidRPr="00976073" w:rsidRDefault="00B76209">
            <w:pPr>
              <w:widowControl w:val="0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Rapid onset: within 1min and last for 15-30 mins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E695" w14:textId="77777777" w:rsidR="00AE5B4F" w:rsidRPr="00976073" w:rsidRDefault="00B76209">
            <w:pPr>
              <w:widowControl w:val="0"/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- For tonometry, instill 1 drop to 2 drops immediately before measurement is made.</w:t>
            </w:r>
          </w:p>
          <w:p w14:paraId="7B2B941A" w14:textId="77777777" w:rsidR="00AE5B4F" w:rsidRPr="00976073" w:rsidRDefault="00B76209">
            <w:pPr>
              <w:widowControl w:val="0"/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- For use as an aid in the treatment of otitis, instill 2 drops into the ear eve</w:t>
            </w:r>
            <w:r w:rsidRPr="00976073">
              <w:rPr>
                <w:rFonts w:asciiTheme="majorHAnsi" w:eastAsia="Times New Roman" w:hAnsiTheme="majorHAnsi" w:cstheme="majorHAnsi"/>
              </w:rPr>
              <w:t>ry 5 minutes for 3 doses.</w:t>
            </w:r>
          </w:p>
          <w:p w14:paraId="51DDAF91" w14:textId="77777777" w:rsidR="00AE5B4F" w:rsidRPr="00976073" w:rsidRDefault="00B76209">
            <w:pPr>
              <w:widowControl w:val="0"/>
              <w:shd w:val="clear" w:color="auto" w:fill="FFFFFF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- For minor surgery, instill 1 drop or more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drops, as required.</w:t>
            </w:r>
          </w:p>
          <w:p w14:paraId="40A52CE9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55116" w:rsidRPr="00976073" w14:paraId="252D8D15" w14:textId="77777777" w:rsidTr="00F55116">
        <w:trPr>
          <w:trHeight w:val="2325"/>
        </w:trPr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CFA5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976073">
              <w:rPr>
                <w:rFonts w:asciiTheme="majorHAnsi" w:eastAsia="Times New Roman" w:hAnsiTheme="majorHAnsi" w:cstheme="majorHAnsi"/>
                <w:b/>
              </w:rPr>
              <w:lastRenderedPageBreak/>
              <w:t>Combikel</w:t>
            </w:r>
            <w:proofErr w:type="spellEnd"/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 40 L.A.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8AFC7" w14:textId="77777777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Pen-strep (procaine benzylpenicillin, dihydrostreptomycin sulphate)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4008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An antibiotic which is capable of combating gram positive and gram-negative bacteria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4B79" w14:textId="585C2558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 not use on animals with septicemia</w:t>
            </w:r>
            <w:r w:rsidRPr="00976073">
              <w:rPr>
                <w:rFonts w:asciiTheme="majorHAnsi" w:eastAsia="Times New Roman" w:hAnsiTheme="majorHAnsi" w:cstheme="majorHAnsi"/>
              </w:rPr>
              <w:t>, shock, or other grave illnesses as absorption of the medication from the GI tract may be significantly delayed or diminished.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2F43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Hyper</w:t>
            </w:r>
            <w:r w:rsidRPr="00976073">
              <w:rPr>
                <w:rFonts w:asciiTheme="majorHAnsi" w:eastAsia="Times New Roman" w:hAnsiTheme="majorHAnsi" w:cstheme="majorHAnsi"/>
              </w:rPr>
              <w:t>sensitivity and CNS effects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C9B3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Meat: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30 days</w:t>
            </w:r>
          </w:p>
          <w:p w14:paraId="02449FE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Milk: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10 days</w:t>
            </w:r>
          </w:p>
          <w:p w14:paraId="1DB68DDD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1091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 Rate: 40,000 IU/kg</w:t>
            </w:r>
          </w:p>
          <w:p w14:paraId="1621897F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 200,000 IU/ml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7DEB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 = (D x W)/C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V= (40,000 x 400)/200,000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= 80 ml</w:t>
            </w:r>
          </w:p>
          <w:p w14:paraId="047F5D5E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Administered twice every 3 days. </w:t>
            </w:r>
          </w:p>
        </w:tc>
      </w:tr>
      <w:tr w:rsidR="00F55116" w:rsidRPr="00976073" w14:paraId="0A3C4478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1F5E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Banamine 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23097" w14:textId="00819AE4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Flunixin meglumine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E9B9" w14:textId="77777777" w:rsidR="00AE5B4F" w:rsidRPr="00976073" w:rsidRDefault="00B76209">
            <w:pPr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Cattle: acute respiratory disease, acute coliform mastitis with endotoxic shock, pain (downer cow), and calf diarrhoea.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2205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 not use it in cows with hypersensitivity reactions. The IM route is extra-label in cattle and should only be used when the IV route i</w:t>
            </w:r>
            <w:r w:rsidRPr="00976073">
              <w:rPr>
                <w:rFonts w:asciiTheme="majorHAnsi" w:eastAsia="Times New Roman" w:hAnsiTheme="majorHAnsi" w:cstheme="majorHAnsi"/>
              </w:rPr>
              <w:t>s not feasible for use. Longer withdrawal times would be required after IM use. Flunixin should not be used in an attempt to ambulate cattle to be shipped for slaughter.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DC0E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Causes anaphylactic reactions, Gastrointestinal irritation, ulceration,</w:t>
            </w:r>
          </w:p>
          <w:p w14:paraId="6D88CE70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Plasma protein</w:t>
            </w:r>
            <w:r w:rsidRPr="00976073">
              <w:rPr>
                <w:rFonts w:asciiTheme="majorHAnsi" w:eastAsia="Times New Roman" w:hAnsiTheme="majorHAnsi" w:cstheme="majorHAnsi"/>
              </w:rPr>
              <w:t>-losing enteropathy,</w:t>
            </w:r>
          </w:p>
          <w:p w14:paraId="34649839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Vomiting. Skin rash can also occur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8E2A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12-48 hours for milk cows and 5-14 days for beef</w:t>
            </w:r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915C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Dosage: 2.2mg/kg     </w:t>
            </w:r>
          </w:p>
          <w:p w14:paraId="553767CA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4995837A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 50mg/ml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CA06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V= (D x W)/C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V= (2.2 x 400)/50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= 17.6ml</w:t>
            </w:r>
          </w:p>
          <w:p w14:paraId="7C0FEE77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55116" w:rsidRPr="00976073" w14:paraId="3BB9E311" w14:textId="77777777" w:rsidTr="00F55116">
        <w:tc>
          <w:tcPr>
            <w:tcW w:w="11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5F2C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Tetanus </w:t>
            </w:r>
          </w:p>
        </w:tc>
        <w:tc>
          <w:tcPr>
            <w:tcW w:w="15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F01F0" w14:textId="77777777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Tetanus antitoxin</w:t>
            </w:r>
          </w:p>
        </w:tc>
        <w:tc>
          <w:tcPr>
            <w:tcW w:w="2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1DB2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It is recommended for use whenever a non-immunized animal, or one whose immune status is unknown, suffers a deep penetrating wound that has or may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become contaminated with soil. Used especially in goats to neutralize tetanus toxins.</w:t>
            </w:r>
          </w:p>
        </w:tc>
        <w:tc>
          <w:tcPr>
            <w:tcW w:w="31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068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 xml:space="preserve">Do not use animals who </w:t>
            </w:r>
            <w:r w:rsidRPr="00976073">
              <w:rPr>
                <w:rFonts w:asciiTheme="majorHAnsi" w:eastAsia="Times New Roman" w:hAnsiTheme="majorHAnsi" w:cstheme="majorHAnsi"/>
              </w:rPr>
              <w:t>have a history of hypersensitivity reactions.</w:t>
            </w:r>
          </w:p>
        </w:tc>
        <w:tc>
          <w:tcPr>
            <w:tcW w:w="20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AF3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Serum sickness</w:t>
            </w:r>
          </w:p>
          <w:p w14:paraId="27EE4D89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  <w:p w14:paraId="7C214CF8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May cause anaphylactic shock</w:t>
            </w:r>
          </w:p>
        </w:tc>
        <w:tc>
          <w:tcPr>
            <w:tcW w:w="10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BBE2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Meat: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21 days</w:t>
            </w:r>
          </w:p>
          <w:p w14:paraId="2C3E9542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  <w:p w14:paraId="77F0DBBE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Milk: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24 hours</w:t>
            </w:r>
          </w:p>
        </w:tc>
        <w:tc>
          <w:tcPr>
            <w:tcW w:w="17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EEE6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 rate:</w:t>
            </w:r>
          </w:p>
          <w:p w14:paraId="001BD689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1-2 mg/kg</w:t>
            </w:r>
          </w:p>
          <w:p w14:paraId="4701E550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  <w:p w14:paraId="2EC719F6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1500 units SC/IM for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prevention</w:t>
            </w:r>
          </w:p>
        </w:tc>
        <w:tc>
          <w:tcPr>
            <w:tcW w:w="22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C9CF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 xml:space="preserve">Prevention Dosage: 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br/>
              <w:t>1,500 units SC/IM</w:t>
            </w:r>
          </w:p>
        </w:tc>
      </w:tr>
      <w:tr w:rsidR="00AE5B4F" w:rsidRPr="00976073" w14:paraId="1E4A87CD" w14:textId="77777777" w:rsidTr="00F55116">
        <w:trPr>
          <w:trHeight w:val="9105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C6FC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lastRenderedPageBreak/>
              <w:t>Povidone -iodine solution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69A26" w14:textId="77777777" w:rsidR="00AE5B4F" w:rsidRPr="00976073" w:rsidRDefault="00B76209" w:rsidP="00F55116">
            <w:pP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Povidone- Iodine (titratable iodine 1.0%)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6D28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 xml:space="preserve">A germicidal cleanser for preoperative and postoperative skin washing, and shampoo for bacterial and fungal skin infections in animals. </w:t>
            </w:r>
          </w:p>
          <w:p w14:paraId="4DEC9110" w14:textId="77777777" w:rsidR="00AE5B4F" w:rsidRPr="00976073" w:rsidRDefault="00B76209">
            <w:pP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Helps prevent infection in cuts, scratches, abrasions, and burns. Non-staining to skin, hair, and natural fabrics.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04A2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When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 color is lost (reduced activity).</w:t>
            </w:r>
          </w:p>
          <w:p w14:paraId="3B6C6AF5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 not use concurrently with other disinfectants, detergents or antiseptics.</w:t>
            </w:r>
          </w:p>
          <w:p w14:paraId="49500402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Strong solutions are ineffective.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93C0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Overstrength solutions don't work and may be toxic locally and systemically.</w:t>
            </w:r>
          </w:p>
          <w:p w14:paraId="004EEA1F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Hypersensitivity may occur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51AB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None 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05FC" w14:textId="77777777" w:rsidR="00AE5B4F" w:rsidRPr="00976073" w:rsidRDefault="00B76209">
            <w:pPr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Requires contact time of 2 minutes at least for any effect. Rapid rinsing or removal is therefore counterproductive.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55F6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None indicated</w:t>
            </w:r>
          </w:p>
        </w:tc>
      </w:tr>
      <w:tr w:rsidR="00AE5B4F" w:rsidRPr="00976073" w14:paraId="7D7FC9EE" w14:textId="77777777" w:rsidTr="00F55116">
        <w:trPr>
          <w:trHeight w:val="5696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7740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lastRenderedPageBreak/>
              <w:t>Neomycin</w:t>
            </w:r>
          </w:p>
          <w:p w14:paraId="7313996E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>STERILE OINTMENT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03B" w14:textId="77777777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Neomycin Sulfate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A73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Antibiotic ointment eye drop</w:t>
            </w:r>
          </w:p>
          <w:p w14:paraId="29BF6D6F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  <w:p w14:paraId="2FD5FD7D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Use for treatment or adjunctive therapy to certain eye, ear, and skin conditions. Also, use as a superficial wound dressing for minor cuts, wounds, lacerations, and abrasions.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66CC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Prolonged administration of the drug may permit overgrowth of organisms that are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 not susceptible to neomycin. If new infections due to bacteria or fungi appear during therapy, appropriate measures should be taken.</w:t>
            </w:r>
          </w:p>
          <w:p w14:paraId="6FF67766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Concurrently with other ototoxic and nephrotoxic drugs.</w:t>
            </w:r>
          </w:p>
          <w:p w14:paraId="5D4F7558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In animals with hepatic failure.</w:t>
            </w:r>
          </w:p>
          <w:p w14:paraId="4C55A362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Epithelial herpes simplex keratit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is, vaccinia, varicella and many other viral diseases of the cornea and conjunctiva. Mycobacterial infection of the eye. Fungal diseases of ocular structures. Hypersensitivity to a component of the medication.</w:t>
            </w:r>
          </w:p>
          <w:p w14:paraId="0C69CE75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088A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Elevation of intraocular pressure with possib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le development of glaucoma</w:t>
            </w:r>
          </w:p>
          <w:p w14:paraId="7EAE6C26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</w:p>
          <w:p w14:paraId="0477DBBA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Infrequent optic nerve damage</w:t>
            </w:r>
          </w:p>
          <w:p w14:paraId="05353408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</w:p>
          <w:p w14:paraId="6519D8FE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Posterior sub capsular cataract formation</w:t>
            </w:r>
          </w:p>
          <w:p w14:paraId="2BA66A0E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</w:p>
          <w:p w14:paraId="2A3F7680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Delayed wound healing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D70D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None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03A9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Ophthalmic:  Administer 3 times to 4 times/day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407C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Not indicated</w:t>
            </w:r>
          </w:p>
        </w:tc>
      </w:tr>
      <w:tr w:rsidR="00AE5B4F" w:rsidRPr="00976073" w14:paraId="745C4096" w14:textId="77777777" w:rsidTr="00F55116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BD7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>Atropine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AC6B6" w14:textId="77777777" w:rsidR="00AE5B4F" w:rsidRPr="00976073" w:rsidRDefault="00B76209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Atropine Sulfate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F71A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Preanesthetic to prevent or reduce secretions of the respiratory tract.</w:t>
            </w:r>
          </w:p>
          <w:p w14:paraId="51E5891F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Treat sinus bradycardia,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sinoatrial arrest, and incomplete AV block.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3AA8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>Atropine is contraindicated in patients with narrow-angle glaucoma, synechiae (adhesions) between the iris and lens</w:t>
            </w:r>
            <w:r w:rsidRPr="00976073">
              <w:rPr>
                <w:rFonts w:asciiTheme="majorHAnsi" w:eastAsia="Times New Roman" w:hAnsiTheme="majorHAnsi" w:cstheme="majorHAnsi"/>
              </w:rPr>
              <w:t xml:space="preserve">, hypersensitivity to anticholinergic drugs, tachycardias secondary to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thyrotoxicosis or cardiac insufficiency, myocardial ischemia, unstable cardiac status during acute hemorrhage, GI obstructive disease, paralytic ileus, severe ulcerative colitis, obstru</w:t>
            </w:r>
            <w:r w:rsidRPr="00976073">
              <w:rPr>
                <w:rFonts w:asciiTheme="majorHAnsi" w:eastAsia="Times New Roman" w:hAnsiTheme="majorHAnsi" w:cstheme="majorHAnsi"/>
              </w:rPr>
              <w:t>ctive uropathy, and myasthenia gravis</w:t>
            </w:r>
          </w:p>
          <w:p w14:paraId="02393B6B" w14:textId="77777777" w:rsidR="00AE5B4F" w:rsidRPr="00976073" w:rsidRDefault="00AE5B4F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1910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 xml:space="preserve">Adverse effects are usually due to overdose. </w:t>
            </w:r>
          </w:p>
          <w:p w14:paraId="3A336690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 xml:space="preserve">GI: dry mouth, dysphagia, constipation, 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 xml:space="preserve">vomiting, and thirst. </w:t>
            </w:r>
          </w:p>
          <w:p w14:paraId="60F2746F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 xml:space="preserve">GU: urinary retention or hesitancy. </w:t>
            </w:r>
          </w:p>
          <w:p w14:paraId="5069A329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 xml:space="preserve">CNS: drowsiness, ataxia, seizures, respiratory depression, etc. </w:t>
            </w:r>
          </w:p>
          <w:p w14:paraId="7FA537C1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Ophthalmic: blurred vision, pupil dilation, cycloplegia, and photophobia.</w:t>
            </w:r>
          </w:p>
          <w:p w14:paraId="0058DB7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Cardiovascular: sinus tachycardia (at higher doses), bradycardia (initially or at very low doses), hypertension, hypotension, arrhythmias (ectopic complexes), and circulatory failure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B49B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 xml:space="preserve">Meat: 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14 days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7D9E" w14:textId="77777777" w:rsidR="00AE5B4F" w:rsidRPr="00976073" w:rsidRDefault="00B76209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 0.54mg/ml</w:t>
            </w:r>
          </w:p>
          <w:p w14:paraId="2591006D" w14:textId="77777777" w:rsidR="00AE5B4F" w:rsidRPr="00976073" w:rsidRDefault="00AE5B4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46CA09E6" w14:textId="77777777" w:rsidR="00AE5B4F" w:rsidRPr="00976073" w:rsidRDefault="00B76209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Dose: 0.04mg/kg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8E27" w14:textId="77777777" w:rsidR="00AE5B4F" w:rsidRPr="00976073" w:rsidRDefault="00B76209">
            <w:pPr>
              <w:widowControl w:val="0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V= (D x W)/C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V= (0.04 x 400)/0.54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= 29.6 ml</w:t>
            </w:r>
          </w:p>
        </w:tc>
      </w:tr>
      <w:tr w:rsidR="00AE5B4F" w:rsidRPr="00976073" w14:paraId="63B49627" w14:textId="77777777" w:rsidTr="00F55116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B334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976073">
              <w:rPr>
                <w:rFonts w:asciiTheme="majorHAnsi" w:eastAsia="Times New Roman" w:hAnsiTheme="majorHAnsi" w:cstheme="majorHAnsi"/>
                <w:b/>
              </w:rPr>
              <w:t xml:space="preserve">Epinephrine 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59D57" w14:textId="77777777" w:rsidR="00AE5B4F" w:rsidRPr="00976073" w:rsidRDefault="00AE5B4F" w:rsidP="00F55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Theme="majorHAnsi" w:eastAsia="Times New Roman" w:hAnsiTheme="majorHAnsi" w:cstheme="majorHAnsi"/>
                <w:highlight w:val="white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0F6F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Treatment for anaphylactic reactions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06D7" w14:textId="77777777" w:rsidR="00AE5B4F" w:rsidRPr="00976073" w:rsidRDefault="00B76209">
            <w:pPr>
              <w:widowControl w:val="0"/>
              <w:pBdr>
                <w:bottom w:val="none" w:sz="0" w:space="6" w:color="auto"/>
              </w:pBdr>
              <w:shd w:val="clear" w:color="auto" w:fill="FFFFFF"/>
              <w:spacing w:before="200" w:after="24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 xml:space="preserve">Narrow-angle glaucoma, hypersensitivity to epinephrine, shock due to non-anaphylactoid causes, during general anesthesia with halogenated </w:t>
            </w:r>
            <w:r w:rsidRPr="00976073">
              <w:rPr>
                <w:rFonts w:asciiTheme="majorHAnsi" w:eastAsia="Times New Roman" w:hAnsiTheme="majorHAnsi" w:cstheme="majorHAnsi"/>
              </w:rPr>
              <w:lastRenderedPageBreak/>
              <w:t>hydrocarbons, during labor (may delay the second stage), cardiac dilatation or coronary insufficiency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4710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Anxiety, tremor,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t xml:space="preserve"> excitability, vomiting, hypertension (overdosage), </w:t>
            </w:r>
            <w:r w:rsidRPr="00976073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arrhythmias, hyperuricemia, &amp; lactic acidosis (prolonged use or overdosage)</w:t>
            </w:r>
          </w:p>
          <w:p w14:paraId="4E890C4D" w14:textId="77777777" w:rsidR="00AE5B4F" w:rsidRPr="00976073" w:rsidRDefault="00AE5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  <w:highlight w:val="white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B77E" w14:textId="77777777" w:rsidR="00AE5B4F" w:rsidRPr="00976073" w:rsidRDefault="00B7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lastRenderedPageBreak/>
              <w:t>None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4E97" w14:textId="77777777" w:rsidR="00AE5B4F" w:rsidRPr="00976073" w:rsidRDefault="00B76209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Concentration: 1mg/ml</w:t>
            </w:r>
          </w:p>
          <w:p w14:paraId="5360CD66" w14:textId="77777777" w:rsidR="00AE5B4F" w:rsidRPr="00976073" w:rsidRDefault="00AE5B4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43B49407" w14:textId="77777777" w:rsidR="00AE5B4F" w:rsidRPr="00976073" w:rsidRDefault="00B76209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Dose: 0.02mg/kg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9F72" w14:textId="77777777" w:rsidR="00AE5B4F" w:rsidRPr="00976073" w:rsidRDefault="00B76209">
            <w:pPr>
              <w:widowControl w:val="0"/>
              <w:spacing w:before="200" w:line="240" w:lineRule="auto"/>
              <w:rPr>
                <w:rFonts w:asciiTheme="majorHAnsi" w:eastAsia="Times New Roman" w:hAnsiTheme="majorHAnsi" w:cstheme="majorHAnsi"/>
              </w:rPr>
            </w:pPr>
            <w:r w:rsidRPr="00976073">
              <w:rPr>
                <w:rFonts w:asciiTheme="majorHAnsi" w:eastAsia="Times New Roman" w:hAnsiTheme="majorHAnsi" w:cstheme="majorHAnsi"/>
              </w:rPr>
              <w:t>V= (D x W)/C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>V= (0.02 x 400)/1</w:t>
            </w:r>
            <w:r w:rsidRPr="00976073">
              <w:rPr>
                <w:rFonts w:asciiTheme="majorHAnsi" w:eastAsia="Times New Roman" w:hAnsiTheme="majorHAnsi" w:cstheme="majorHAnsi"/>
              </w:rPr>
              <w:br/>
              <w:t xml:space="preserve">   = 8 ml</w:t>
            </w:r>
          </w:p>
        </w:tc>
      </w:tr>
    </w:tbl>
    <w:p w14:paraId="21F149C9" w14:textId="77777777" w:rsidR="00AE5B4F" w:rsidRDefault="00AE5B4F">
      <w:pPr>
        <w:rPr>
          <w:rFonts w:ascii="Times New Roman" w:eastAsia="Times New Roman" w:hAnsi="Times New Roman" w:cs="Times New Roman"/>
        </w:rPr>
      </w:pPr>
    </w:p>
    <w:sectPr w:rsidR="00AE5B4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4F"/>
    <w:rsid w:val="00976073"/>
    <w:rsid w:val="00AE5B4F"/>
    <w:rsid w:val="00B76209"/>
    <w:rsid w:val="00F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CF0C"/>
  <w15:docId w15:val="{E7E5FCA8-A115-415C-9454-C593C98C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Rhoden</dc:creator>
  <cp:lastModifiedBy>alexandra.thomasrhoden</cp:lastModifiedBy>
  <cp:revision>3</cp:revision>
  <dcterms:created xsi:type="dcterms:W3CDTF">2021-10-23T20:42:00Z</dcterms:created>
  <dcterms:modified xsi:type="dcterms:W3CDTF">2021-10-23T21:47:00Z</dcterms:modified>
</cp:coreProperties>
</file>