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552"/>
        <w:gridCol w:w="1762"/>
        <w:gridCol w:w="1533"/>
        <w:gridCol w:w="1722"/>
        <w:gridCol w:w="1401"/>
      </w:tblGrid>
      <w:tr w:rsidR="00C50D5D" w:rsidTr="00C50D5D">
        <w:tc>
          <w:tcPr>
            <w:tcW w:w="1621" w:type="dxa"/>
          </w:tcPr>
          <w:p w:rsidR="00C50D5D" w:rsidRDefault="00C50D5D"/>
        </w:tc>
        <w:tc>
          <w:tcPr>
            <w:tcW w:w="1569" w:type="dxa"/>
          </w:tcPr>
          <w:p w:rsidR="00C50D5D" w:rsidRDefault="00C50D5D">
            <w:r>
              <w:t>Dose (mg/kg)</w:t>
            </w:r>
          </w:p>
        </w:tc>
        <w:tc>
          <w:tcPr>
            <w:tcW w:w="1769" w:type="dxa"/>
          </w:tcPr>
          <w:p w:rsidR="00C50D5D" w:rsidRDefault="00C50D5D" w:rsidP="00ED38B9">
            <w:r>
              <w:t>Concentration of vial (mg/ml)</w:t>
            </w:r>
          </w:p>
        </w:tc>
        <w:tc>
          <w:tcPr>
            <w:tcW w:w="1551" w:type="dxa"/>
          </w:tcPr>
          <w:p w:rsidR="00C50D5D" w:rsidRDefault="00C50D5D">
            <w:r>
              <w:t>Weight of patient</w:t>
            </w:r>
          </w:p>
          <w:p w:rsidR="00C50D5D" w:rsidRDefault="00C50D5D">
            <w:r>
              <w:t xml:space="preserve">(kg) </w:t>
            </w:r>
          </w:p>
        </w:tc>
        <w:tc>
          <w:tcPr>
            <w:tcW w:w="1737" w:type="dxa"/>
          </w:tcPr>
          <w:p w:rsidR="00C50D5D" w:rsidRDefault="00C50D5D">
            <w:r>
              <w:t>Calculated volume  (ml)</w:t>
            </w:r>
          </w:p>
        </w:tc>
        <w:tc>
          <w:tcPr>
            <w:tcW w:w="1329" w:type="dxa"/>
          </w:tcPr>
          <w:p w:rsidR="00C50D5D" w:rsidRDefault="00C50D5D">
            <w:r>
              <w:t>Volume administered</w:t>
            </w:r>
            <w:r>
              <w:t xml:space="preserve"> (mg)</w:t>
            </w:r>
          </w:p>
        </w:tc>
      </w:tr>
      <w:tr w:rsidR="00C50D5D" w:rsidTr="00C50D5D">
        <w:tc>
          <w:tcPr>
            <w:tcW w:w="1621" w:type="dxa"/>
          </w:tcPr>
          <w:p w:rsidR="00C50D5D" w:rsidRDefault="00C50D5D">
            <w:proofErr w:type="spellStart"/>
            <w:r>
              <w:t>Flumixin</w:t>
            </w:r>
            <w:proofErr w:type="spellEnd"/>
            <w:r>
              <w:t xml:space="preserve">  </w:t>
            </w:r>
          </w:p>
        </w:tc>
        <w:tc>
          <w:tcPr>
            <w:tcW w:w="1569" w:type="dxa"/>
          </w:tcPr>
          <w:p w:rsidR="00C50D5D" w:rsidRDefault="00C50D5D">
            <w:r>
              <w:t>2.2</w:t>
            </w:r>
          </w:p>
        </w:tc>
        <w:tc>
          <w:tcPr>
            <w:tcW w:w="1769" w:type="dxa"/>
          </w:tcPr>
          <w:p w:rsidR="00C50D5D" w:rsidRDefault="00C50D5D">
            <w:r>
              <w:t>50</w:t>
            </w:r>
          </w:p>
        </w:tc>
        <w:tc>
          <w:tcPr>
            <w:tcW w:w="1551" w:type="dxa"/>
          </w:tcPr>
          <w:p w:rsidR="00C50D5D" w:rsidRDefault="00C50D5D">
            <w:r>
              <w:t>175</w:t>
            </w:r>
          </w:p>
        </w:tc>
        <w:tc>
          <w:tcPr>
            <w:tcW w:w="1737" w:type="dxa"/>
          </w:tcPr>
          <w:p w:rsidR="00C50D5D" w:rsidRDefault="00C50D5D">
            <w:r>
              <w:t>7.7</w:t>
            </w:r>
          </w:p>
        </w:tc>
        <w:tc>
          <w:tcPr>
            <w:tcW w:w="1329" w:type="dxa"/>
          </w:tcPr>
          <w:p w:rsidR="00C50D5D" w:rsidRDefault="00C50D5D">
            <w:r>
              <w:t>7.7</w:t>
            </w:r>
          </w:p>
        </w:tc>
      </w:tr>
      <w:tr w:rsidR="00C50D5D" w:rsidTr="00C50D5D">
        <w:tc>
          <w:tcPr>
            <w:tcW w:w="1621" w:type="dxa"/>
          </w:tcPr>
          <w:p w:rsidR="00C50D5D" w:rsidRDefault="00C50D5D">
            <w:r>
              <w:t>Lidocaine</w:t>
            </w:r>
          </w:p>
        </w:tc>
        <w:tc>
          <w:tcPr>
            <w:tcW w:w="1569" w:type="dxa"/>
          </w:tcPr>
          <w:p w:rsidR="00C50D5D" w:rsidRDefault="00C50D5D">
            <w:r>
              <w:t>1</w:t>
            </w:r>
          </w:p>
        </w:tc>
        <w:tc>
          <w:tcPr>
            <w:tcW w:w="1769" w:type="dxa"/>
          </w:tcPr>
          <w:p w:rsidR="00C50D5D" w:rsidRDefault="00C50D5D">
            <w:r>
              <w:t>20</w:t>
            </w:r>
          </w:p>
        </w:tc>
        <w:tc>
          <w:tcPr>
            <w:tcW w:w="1551" w:type="dxa"/>
          </w:tcPr>
          <w:p w:rsidR="00C50D5D" w:rsidRDefault="00C50D5D">
            <w:r>
              <w:t>175</w:t>
            </w:r>
          </w:p>
        </w:tc>
        <w:tc>
          <w:tcPr>
            <w:tcW w:w="1737" w:type="dxa"/>
          </w:tcPr>
          <w:p w:rsidR="00C50D5D" w:rsidRDefault="00C50D5D">
            <w:r>
              <w:t>8.75</w:t>
            </w:r>
          </w:p>
        </w:tc>
        <w:tc>
          <w:tcPr>
            <w:tcW w:w="1329" w:type="dxa"/>
          </w:tcPr>
          <w:p w:rsidR="00C50D5D" w:rsidRDefault="00C50D5D">
            <w:r>
              <w:t>10 ml</w:t>
            </w:r>
          </w:p>
        </w:tc>
      </w:tr>
      <w:tr w:rsidR="00C50D5D" w:rsidTr="00C50D5D">
        <w:tc>
          <w:tcPr>
            <w:tcW w:w="1621" w:type="dxa"/>
          </w:tcPr>
          <w:p w:rsidR="00C50D5D" w:rsidRDefault="00C50D5D">
            <w:proofErr w:type="spellStart"/>
            <w:r>
              <w:t>Penstrep</w:t>
            </w:r>
            <w:proofErr w:type="spellEnd"/>
          </w:p>
        </w:tc>
        <w:tc>
          <w:tcPr>
            <w:tcW w:w="1569" w:type="dxa"/>
          </w:tcPr>
          <w:p w:rsidR="00C50D5D" w:rsidRDefault="00C50D5D">
            <w:r>
              <w:t xml:space="preserve">20,000 </w:t>
            </w:r>
          </w:p>
        </w:tc>
        <w:tc>
          <w:tcPr>
            <w:tcW w:w="1769" w:type="dxa"/>
          </w:tcPr>
          <w:p w:rsidR="00C50D5D" w:rsidRDefault="00C50D5D">
            <w:r>
              <w:t>200,000</w:t>
            </w:r>
          </w:p>
        </w:tc>
        <w:tc>
          <w:tcPr>
            <w:tcW w:w="1551" w:type="dxa"/>
          </w:tcPr>
          <w:p w:rsidR="00C50D5D" w:rsidRDefault="00C50D5D">
            <w:r>
              <w:t>175</w:t>
            </w:r>
          </w:p>
        </w:tc>
        <w:tc>
          <w:tcPr>
            <w:tcW w:w="1737" w:type="dxa"/>
          </w:tcPr>
          <w:p w:rsidR="00C50D5D" w:rsidRDefault="00C50D5D">
            <w:r>
              <w:t>17.5</w:t>
            </w:r>
          </w:p>
        </w:tc>
        <w:tc>
          <w:tcPr>
            <w:tcW w:w="1329" w:type="dxa"/>
          </w:tcPr>
          <w:p w:rsidR="00C50D5D" w:rsidRDefault="00C50D5D">
            <w:r>
              <w:t>17.5</w:t>
            </w:r>
          </w:p>
        </w:tc>
      </w:tr>
      <w:tr w:rsidR="00C50D5D" w:rsidTr="00C50D5D">
        <w:tc>
          <w:tcPr>
            <w:tcW w:w="1621" w:type="dxa"/>
          </w:tcPr>
          <w:p w:rsidR="00C50D5D" w:rsidRDefault="00C50D5D"/>
        </w:tc>
        <w:tc>
          <w:tcPr>
            <w:tcW w:w="1569" w:type="dxa"/>
          </w:tcPr>
          <w:p w:rsidR="00C50D5D" w:rsidRDefault="00C50D5D"/>
        </w:tc>
        <w:tc>
          <w:tcPr>
            <w:tcW w:w="1769" w:type="dxa"/>
          </w:tcPr>
          <w:p w:rsidR="00C50D5D" w:rsidRDefault="00C50D5D"/>
        </w:tc>
        <w:tc>
          <w:tcPr>
            <w:tcW w:w="1551" w:type="dxa"/>
          </w:tcPr>
          <w:p w:rsidR="00C50D5D" w:rsidRDefault="00C50D5D"/>
        </w:tc>
        <w:tc>
          <w:tcPr>
            <w:tcW w:w="1737" w:type="dxa"/>
          </w:tcPr>
          <w:p w:rsidR="00C50D5D" w:rsidRDefault="00C50D5D"/>
        </w:tc>
        <w:tc>
          <w:tcPr>
            <w:tcW w:w="1329" w:type="dxa"/>
          </w:tcPr>
          <w:p w:rsidR="00C50D5D" w:rsidRDefault="00C50D5D"/>
        </w:tc>
      </w:tr>
    </w:tbl>
    <w:p w:rsidR="00BD5A02" w:rsidRDefault="00BD5A02"/>
    <w:p w:rsidR="00ED38B9" w:rsidRDefault="00C50D5D">
      <w:pPr>
        <w:rPr>
          <w:rFonts w:eastAsiaTheme="minorEastAsia"/>
        </w:rPr>
      </w:pPr>
      <w:r>
        <w:rPr>
          <w:sz w:val="28"/>
        </w:rPr>
        <w:t>Volume was calculated using t</w:t>
      </w:r>
      <w:r w:rsidR="00ED38B9" w:rsidRPr="00ED38B9">
        <w:rPr>
          <w:sz w:val="28"/>
        </w:rPr>
        <w:t>he formula:</w:t>
      </w:r>
      <w:r w:rsidR="00ED38B9" w:rsidRPr="00ED38B9">
        <w:rPr>
          <w:rFonts w:eastAsiaTheme="minorEastAsia"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ml=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dose(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kg</m:t>
                </m:r>
              </m:den>
            </m:f>
            <m:r>
              <w:rPr>
                <w:rFonts w:ascii="Cambria Math" w:hAnsi="Cambria Math"/>
                <w:sz w:val="28"/>
              </w:rPr>
              <m:t>) x weight(kg)</m:t>
            </m:r>
          </m:num>
          <m:den>
            <m:r>
              <w:rPr>
                <w:rFonts w:ascii="Cambria Math" w:hAnsi="Cambria Math"/>
                <w:sz w:val="28"/>
              </w:rPr>
              <m:t>concentration 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ml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den>
        </m:f>
        <m:r>
          <w:rPr>
            <w:rFonts w:ascii="Cambria Math" w:hAnsi="Cambria Math"/>
            <w:sz w:val="28"/>
          </w:rPr>
          <w:br/>
        </m:r>
      </m:oMath>
    </w:p>
    <w:p w:rsidR="00C50D5D" w:rsidRPr="00ED38B9" w:rsidRDefault="00C50D5D">
      <w:pPr>
        <w:rPr>
          <w:rFonts w:eastAsiaTheme="minorEastAsia"/>
        </w:rPr>
      </w:pPr>
      <w:r>
        <w:rPr>
          <w:rFonts w:eastAsiaTheme="minorEastAsia"/>
        </w:rPr>
        <w:t xml:space="preserve">The toxic dose of lidocaine is 10 mg/kg. When this dose was calculated, the result indicated that the toxic dose of lidocaine for the patient is 87.5 ml. Therefore, with this information we proceeded to increase the </w:t>
      </w:r>
      <w:r w:rsidR="00DF04A9">
        <w:rPr>
          <w:rFonts w:eastAsiaTheme="minorEastAsia"/>
        </w:rPr>
        <w:t>volume</w:t>
      </w:r>
      <w:r>
        <w:rPr>
          <w:rFonts w:eastAsiaTheme="minorEastAsia"/>
        </w:rPr>
        <w:t xml:space="preserve"> of lidocaine</w:t>
      </w:r>
      <w:r w:rsidR="00DF04A9">
        <w:rPr>
          <w:rFonts w:eastAsiaTheme="minorEastAsia"/>
        </w:rPr>
        <w:t xml:space="preserve"> from 8.75ml to 10ml</w:t>
      </w:r>
      <w:r>
        <w:rPr>
          <w:rFonts w:eastAsiaTheme="minorEastAsia"/>
        </w:rPr>
        <w:t xml:space="preserve"> in this patient to ensure each nerve block site got adequate anesthesia</w:t>
      </w:r>
      <w:r w:rsidR="00DF04A9">
        <w:rPr>
          <w:rFonts w:eastAsiaTheme="minorEastAsia"/>
        </w:rPr>
        <w:t>; 5ml each</w:t>
      </w:r>
      <w:bookmarkStart w:id="0" w:name="_GoBack"/>
      <w:bookmarkEnd w:id="0"/>
      <w:r>
        <w:rPr>
          <w:rFonts w:eastAsiaTheme="minorEastAsia"/>
        </w:rPr>
        <w:t>.</w:t>
      </w:r>
    </w:p>
    <w:p w:rsidR="00ED38B9" w:rsidRDefault="00ED38B9"/>
    <w:sectPr w:rsidR="00ED38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E7" w:rsidRDefault="000410E7" w:rsidP="00ED38B9">
      <w:pPr>
        <w:spacing w:after="0" w:line="240" w:lineRule="auto"/>
      </w:pPr>
      <w:r>
        <w:separator/>
      </w:r>
    </w:p>
  </w:endnote>
  <w:endnote w:type="continuationSeparator" w:id="0">
    <w:p w:rsidR="000410E7" w:rsidRDefault="000410E7" w:rsidP="00ED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E7" w:rsidRDefault="000410E7" w:rsidP="00ED38B9">
      <w:pPr>
        <w:spacing w:after="0" w:line="240" w:lineRule="auto"/>
      </w:pPr>
      <w:r>
        <w:separator/>
      </w:r>
    </w:p>
  </w:footnote>
  <w:footnote w:type="continuationSeparator" w:id="0">
    <w:p w:rsidR="000410E7" w:rsidRDefault="000410E7" w:rsidP="00ED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B9" w:rsidRDefault="00ED38B9">
    <w:pPr>
      <w:pStyle w:val="Header"/>
    </w:pPr>
    <w:r>
      <w:t xml:space="preserve">Table showing drugs used during the dehorning procedure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B9"/>
    <w:rsid w:val="000410E7"/>
    <w:rsid w:val="00BD5A02"/>
    <w:rsid w:val="00C50D5D"/>
    <w:rsid w:val="00DF04A9"/>
    <w:rsid w:val="00E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9"/>
  </w:style>
  <w:style w:type="paragraph" w:styleId="Footer">
    <w:name w:val="footer"/>
    <w:basedOn w:val="Normal"/>
    <w:link w:val="FooterChar"/>
    <w:uiPriority w:val="99"/>
    <w:unhideWhenUsed/>
    <w:rsid w:val="00ED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9"/>
  </w:style>
  <w:style w:type="character" w:styleId="PlaceholderText">
    <w:name w:val="Placeholder Text"/>
    <w:basedOn w:val="DefaultParagraphFont"/>
    <w:uiPriority w:val="99"/>
    <w:semiHidden/>
    <w:rsid w:val="00ED38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9"/>
  </w:style>
  <w:style w:type="paragraph" w:styleId="Footer">
    <w:name w:val="footer"/>
    <w:basedOn w:val="Normal"/>
    <w:link w:val="FooterChar"/>
    <w:uiPriority w:val="99"/>
    <w:unhideWhenUsed/>
    <w:rsid w:val="00ED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9"/>
  </w:style>
  <w:style w:type="character" w:styleId="PlaceholderText">
    <w:name w:val="Placeholder Text"/>
    <w:basedOn w:val="DefaultParagraphFont"/>
    <w:uiPriority w:val="99"/>
    <w:semiHidden/>
    <w:rsid w:val="00ED38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Rashae Hinds</dc:creator>
  <cp:lastModifiedBy>Rashae Hinds</cp:lastModifiedBy>
  <cp:revision>1</cp:revision>
  <dcterms:created xsi:type="dcterms:W3CDTF">2022-09-17T23:21:00Z</dcterms:created>
  <dcterms:modified xsi:type="dcterms:W3CDTF">2022-09-17T23:42:00Z</dcterms:modified>
</cp:coreProperties>
</file>