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C7FD" w14:textId="31368540" w:rsidR="00C44227" w:rsidRPr="007C6B00" w:rsidRDefault="000E7240" w:rsidP="007C6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responder este concepto</w:t>
      </w:r>
      <w:r w:rsidR="007C6B00">
        <w:rPr>
          <w:rFonts w:ascii="Times New Roman" w:hAnsi="Times New Roman" w:cs="Times New Roman"/>
          <w:sz w:val="28"/>
          <w:szCs w:val="28"/>
        </w:rPr>
        <w:t xml:space="preserve">, </w:t>
      </w:r>
      <w:r w:rsidR="007C6B00" w:rsidRPr="00D20956">
        <w:rPr>
          <w:rFonts w:ascii="Times New Roman" w:hAnsi="Times New Roman" w:cs="Times New Roman"/>
          <w:sz w:val="28"/>
          <w:szCs w:val="28"/>
        </w:rPr>
        <w:t xml:space="preserve">Silberschatz et al </w:t>
      </w:r>
      <w:r w:rsidR="007C6B00">
        <w:rPr>
          <w:rFonts w:ascii="Times New Roman" w:hAnsi="Times New Roman" w:cs="Times New Roman"/>
          <w:sz w:val="28"/>
          <w:szCs w:val="28"/>
        </w:rPr>
        <w:t>(</w:t>
      </w:r>
      <w:r w:rsidR="007C6B00" w:rsidRPr="00D20956">
        <w:rPr>
          <w:rFonts w:ascii="Times New Roman" w:hAnsi="Times New Roman" w:cs="Times New Roman"/>
          <w:sz w:val="28"/>
          <w:szCs w:val="28"/>
        </w:rPr>
        <w:t>2002</w:t>
      </w:r>
      <w:r w:rsidR="007C6B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nos afirma</w:t>
      </w:r>
      <w:r w:rsidR="007C6B00">
        <w:rPr>
          <w:rFonts w:ascii="Times New Roman" w:hAnsi="Times New Roman" w:cs="Times New Roman"/>
          <w:sz w:val="28"/>
          <w:szCs w:val="28"/>
        </w:rPr>
        <w:t xml:space="preserve"> lo siguiente, “</w:t>
      </w:r>
      <w:r w:rsidR="007C6B00" w:rsidRPr="007C6B00">
        <w:rPr>
          <w:rFonts w:ascii="Times New Roman" w:hAnsi="Times New Roman" w:cs="Times New Roman"/>
          <w:sz w:val="28"/>
          <w:szCs w:val="28"/>
        </w:rPr>
        <w:t>Esta similitud se puede expresar mediante la generalización, que es una relación contenedora que existe entre el conjunto de entidades de nivel más alto y uno o más conjuntos de entidades de nivel más bajo</w:t>
      </w:r>
      <w:r w:rsidR="007C6B00">
        <w:rPr>
          <w:rFonts w:ascii="Times New Roman" w:hAnsi="Times New Roman" w:cs="Times New Roman"/>
          <w:sz w:val="28"/>
          <w:szCs w:val="28"/>
        </w:rPr>
        <w:t>” (pág. 34).</w:t>
      </w:r>
    </w:p>
    <w:sectPr w:rsidR="00C44227" w:rsidRPr="007C6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0"/>
    <w:rsid w:val="000E7240"/>
    <w:rsid w:val="007C6B00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B7C4"/>
  <w15:chartTrackingRefBased/>
  <w15:docId w15:val="{EEDEBC2D-5093-4732-BCD9-0B0B2DC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2023-03-06T03:46:00Z</dcterms:created>
  <dcterms:modified xsi:type="dcterms:W3CDTF">2023-03-11T05:06:00Z</dcterms:modified>
</cp:coreProperties>
</file>