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80DB" w14:textId="027AA2DB" w:rsidR="002E1382" w:rsidRDefault="002E1382" w:rsidP="002E1382">
      <w:r>
        <w:t>Miguel, (2009), nos dice que Los atributos se utilizan para detallar las entidades asignándoles propiedades descriptivas tales como nombre, color y peso. Existen dos tipos de atributos: identificadores y descriptores. Los primeros se utilizan para distinguir de manera única cada una de las ocurrencias de una entidad (distinguiéndose entre identificadores principales e identificadores alternativos), mientras que los descriptores se utilizan para describir una ocurrencia de entidad</w:t>
      </w:r>
      <w:r>
        <w:t xml:space="preserve"> </w:t>
      </w:r>
      <w:r>
        <w:t>(Pag.2).</w:t>
      </w:r>
    </w:p>
    <w:p w14:paraId="5E0082C2" w14:textId="77777777" w:rsidR="002E1382" w:rsidRDefault="002E1382"/>
    <w:sectPr w:rsidR="002E1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82"/>
    <w:rsid w:val="002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F3E4"/>
  <w15:chartTrackingRefBased/>
  <w15:docId w15:val="{78C562F7-71CE-43E9-9F63-76F37B98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82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1</cp:revision>
  <dcterms:created xsi:type="dcterms:W3CDTF">2023-03-06T05:54:00Z</dcterms:created>
  <dcterms:modified xsi:type="dcterms:W3CDTF">2023-03-06T05:55:00Z</dcterms:modified>
</cp:coreProperties>
</file>