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0059" w14:textId="12757A94" w:rsidR="0054765F" w:rsidRDefault="00E86E59" w:rsidP="00547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autor de esto nos da varios puntos para identificar cada componente y que representan</w:t>
      </w:r>
      <w:r w:rsidR="0054765F">
        <w:rPr>
          <w:rFonts w:ascii="Times New Roman" w:hAnsi="Times New Roman" w:cs="Times New Roman"/>
          <w:sz w:val="28"/>
          <w:szCs w:val="28"/>
        </w:rPr>
        <w:t>:</w:t>
      </w:r>
    </w:p>
    <w:p w14:paraId="79A503A3" w14:textId="16CE99CF" w:rsidR="000250A4" w:rsidRDefault="0054765F" w:rsidP="0054765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Rectángulos, que representan conjuntos de entidades.</w:t>
      </w:r>
    </w:p>
    <w:p w14:paraId="0EEF4BCE" w14:textId="2BCE0244" w:rsidR="0054765F" w:rsidRDefault="0054765F" w:rsidP="0054765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Elipses, que representan atributos.</w:t>
      </w:r>
    </w:p>
    <w:p w14:paraId="1939ACA5" w14:textId="6A5B08E4" w:rsidR="0054765F" w:rsidRDefault="0054765F" w:rsidP="0054765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Rombos, que representan relaciones.</w:t>
      </w:r>
    </w:p>
    <w:p w14:paraId="4170EFE4" w14:textId="008D735B" w:rsidR="0054765F" w:rsidRDefault="0054765F" w:rsidP="0054765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Líneas, que unen atributos a conjuntos de entidades y conjuntos de entidades a conjuntos de relaciones.</w:t>
      </w:r>
    </w:p>
    <w:p w14:paraId="4D8F2720" w14:textId="3D70AEA8" w:rsidR="0054765F" w:rsidRDefault="0054765F" w:rsidP="0054765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Elipses dobles, que representan atributos multivalorados.</w:t>
      </w:r>
    </w:p>
    <w:p w14:paraId="26E94AE2" w14:textId="4788D29D" w:rsidR="0054765F" w:rsidRDefault="0054765F" w:rsidP="0054765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Elipses discontinuas, que denotan atributos derivados.</w:t>
      </w:r>
    </w:p>
    <w:p w14:paraId="2CC86CD3" w14:textId="77777777" w:rsidR="0054765F" w:rsidRPr="0054765F" w:rsidRDefault="0054765F" w:rsidP="0054765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Líneas dobles, que indican participación total de</w:t>
      </w:r>
    </w:p>
    <w:p w14:paraId="6704B330" w14:textId="44FA27F1" w:rsidR="0054765F" w:rsidRDefault="0054765F" w:rsidP="0054765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una entidad en un conjunto de relaciones.</w:t>
      </w:r>
    </w:p>
    <w:p w14:paraId="562D9C97" w14:textId="77777777" w:rsidR="0054765F" w:rsidRPr="0054765F" w:rsidRDefault="0054765F" w:rsidP="0054765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Rectángulos dobles, que representan conjuntos</w:t>
      </w:r>
    </w:p>
    <w:p w14:paraId="4BDB2CCE" w14:textId="476F9889" w:rsidR="0054765F" w:rsidRDefault="0054765F" w:rsidP="0054765F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de entidades débiles.</w:t>
      </w:r>
    </w:p>
    <w:p w14:paraId="1F3BADEB" w14:textId="77FF3862" w:rsidR="0054765F" w:rsidRPr="0054765F" w:rsidRDefault="0054765F" w:rsidP="00547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65F">
        <w:rPr>
          <w:rFonts w:ascii="Times New Roman" w:hAnsi="Times New Roman" w:cs="Times New Roman"/>
          <w:sz w:val="28"/>
          <w:szCs w:val="28"/>
        </w:rPr>
        <w:t>(Silberschatz et al., 2002</w:t>
      </w:r>
      <w:r>
        <w:rPr>
          <w:rFonts w:ascii="Times New Roman" w:hAnsi="Times New Roman" w:cs="Times New Roman"/>
          <w:sz w:val="28"/>
          <w:szCs w:val="28"/>
        </w:rPr>
        <w:t>, pág. 28</w:t>
      </w:r>
      <w:r w:rsidRPr="0054765F">
        <w:rPr>
          <w:rFonts w:ascii="Times New Roman" w:hAnsi="Times New Roman" w:cs="Times New Roman"/>
          <w:sz w:val="28"/>
          <w:szCs w:val="28"/>
        </w:rPr>
        <w:t>)</w:t>
      </w:r>
    </w:p>
    <w:sectPr w:rsidR="0054765F" w:rsidRPr="00547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74C22"/>
    <w:multiLevelType w:val="hybridMultilevel"/>
    <w:tmpl w:val="01B4A51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BE54B53"/>
    <w:multiLevelType w:val="hybridMultilevel"/>
    <w:tmpl w:val="D7905E5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5F"/>
    <w:rsid w:val="000250A4"/>
    <w:rsid w:val="0054765F"/>
    <w:rsid w:val="00E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C31C"/>
  <w15:chartTrackingRefBased/>
  <w15:docId w15:val="{C12D25D2-603F-4E63-A78F-D7989F8A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2</cp:revision>
  <dcterms:created xsi:type="dcterms:W3CDTF">2023-03-09T03:21:00Z</dcterms:created>
  <dcterms:modified xsi:type="dcterms:W3CDTF">2023-03-11T05:08:00Z</dcterms:modified>
</cp:coreProperties>
</file>