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1D64" w14:textId="57D71925" w:rsidR="00A81A3F" w:rsidRPr="00A81A3F" w:rsidRDefault="00A81A3F" w:rsidP="00A81A3F">
      <w:pPr>
        <w:pStyle w:val="APA7"/>
        <w:rPr>
          <w:b/>
          <w:bCs/>
        </w:rPr>
      </w:pPr>
      <w:r w:rsidRPr="00A81A3F">
        <w:rPr>
          <w:b/>
          <w:bCs/>
        </w:rPr>
        <w:t>Especialización</w:t>
      </w:r>
    </w:p>
    <w:p w14:paraId="1E542491" w14:textId="636C1442" w:rsidR="00A81A3F" w:rsidRDefault="00A81A3F" w:rsidP="00A81A3F">
      <w:pPr>
        <w:pStyle w:val="APA7"/>
      </w:pPr>
      <w:r>
        <w:t>Menciona Ricardo (2009):</w:t>
      </w:r>
    </w:p>
    <w:p w14:paraId="1D0B8A3F" w14:textId="77777777" w:rsidR="00A81A3F" w:rsidRDefault="00A81A3F" w:rsidP="00A81A3F">
      <w:pPr>
        <w:pStyle w:val="APA7"/>
        <w:ind w:left="708" w:firstLine="0"/>
      </w:pPr>
      <w:r>
        <w:t>Con frecuencia un conjunto de entidades contiene uno o más subconjuntos que tienen atributos especiales o que participan relaciones que otros miembros del mismo conjunto de entidades no tienen. El método de identificar subconjuntos de conjuntos de entidades existentes, llamado especialización, corresponde a la notación de herencia subclase y clase en el diseño orientado a objetos, donde se representa mediante jerarquías de clase. (pág.274)</w:t>
      </w:r>
    </w:p>
    <w:p w14:paraId="6C0BDDF0" w14:textId="77777777" w:rsidR="00FB4977" w:rsidRDefault="00FB4977" w:rsidP="00A81A3F">
      <w:pPr>
        <w:pStyle w:val="APA7"/>
      </w:pPr>
    </w:p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3F"/>
    <w:rsid w:val="005B1684"/>
    <w:rsid w:val="005C2A99"/>
    <w:rsid w:val="00824EE6"/>
    <w:rsid w:val="00A81A3F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EAC4"/>
  <w15:chartTrackingRefBased/>
  <w15:docId w15:val="{C3B1B01F-D076-49B3-B236-99E5775F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3F"/>
    <w:pPr>
      <w:spacing w:line="480" w:lineRule="auto"/>
      <w:ind w:firstLine="720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/>
      <w:ind w:firstLine="709"/>
    </w:p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2023-03-11T04:10:00Z</dcterms:created>
  <dcterms:modified xsi:type="dcterms:W3CDTF">2023-03-11T04:10:00Z</dcterms:modified>
</cp:coreProperties>
</file>