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0"/>
        <w:gridCol w:w="1160"/>
        <w:gridCol w:w="1420"/>
        <w:gridCol w:w="2520"/>
        <w:gridCol w:w="2800"/>
        <w:gridCol w:w="1560"/>
        <w:tblGridChange w:id="0">
          <w:tblGrid>
            <w:gridCol w:w="1340"/>
            <w:gridCol w:w="1160"/>
            <w:gridCol w:w="1420"/>
            <w:gridCol w:w="2520"/>
            <w:gridCol w:w="280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Concentration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Dosage-1100lb/ 500kg cattle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Contraindications/uses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Local Anesthetic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Lidocaine HCl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field blocking: maximum 200ml of lidocaine 2%</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Nerve block, lidocaine -dosage -1mg/kg,</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conc-2%(20mg/ml),</w:t>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weight 500kg </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Volume =</w:t>
            </w:r>
          </w:p>
          <w:p w:rsidR="00000000" w:rsidDel="00000000" w:rsidP="00000000" w:rsidRDefault="00000000" w:rsidRPr="00000000" w14:paraId="0000001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X Dosage/</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25 ml </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TOXIC DOSE-250ml</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400 x 1/2</w:t>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-It is suitable for performing surgery on standing animals, accordingly injuries associating casting and prolonged</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recumbency can be avoided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Lidocaine HCl is contraindicated in patients with a known history of hypersensitivity to local anesthetics of the amide type.</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Meat: 28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Sedative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Xylazine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xylazine(IM)-</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Dosage- 0.05mg|Kg, conc-20mg/ml</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Weight-500kg</w:t>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Volume=</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Dose</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 Dosage/conc = 1.25 ml</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Should not be used in</w:t>
            </w:r>
          </w:p>
          <w:p w:rsidR="00000000" w:rsidDel="00000000" w:rsidP="00000000" w:rsidRDefault="00000000" w:rsidRPr="00000000" w14:paraId="00000028">
            <w:pPr>
              <w:widowControl w:val="0"/>
              <w:numPr>
                <w:ilvl w:val="0"/>
                <w:numId w:val="2"/>
              </w:numPr>
              <w:spacing w:line="240" w:lineRule="auto"/>
              <w:ind w:left="27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Renal or hepatic failure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period:</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Meat: 5 days</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milk: 4 days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Analgesic/</w:t>
            </w:r>
          </w:p>
          <w:p w:rsidR="00000000" w:rsidDel="00000000" w:rsidP="00000000" w:rsidRDefault="00000000" w:rsidRPr="00000000" w14:paraId="000000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NSAIDs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Banamine (Flunixin meglumine)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Flunixin(IV) - Dosge - 1.1mg/kg ,conc- 50mg/ml</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Weight-500kg</w:t>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Volume =</w:t>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X Dosage/conc= 11ml</w:t>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Should not be used </w:t>
            </w:r>
          </w:p>
          <w:p w:rsidR="00000000" w:rsidDel="00000000" w:rsidP="00000000" w:rsidRDefault="00000000" w:rsidRPr="00000000" w14:paraId="00000036">
            <w:pPr>
              <w:widowControl w:val="0"/>
              <w:numPr>
                <w:ilvl w:val="0"/>
                <w:numId w:val="1"/>
              </w:numPr>
              <w:spacing w:line="240" w:lineRule="auto"/>
              <w:ind w:left="27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animals that have shown prior hypersensitivity reactions. </w:t>
            </w:r>
          </w:p>
          <w:p w:rsidR="00000000" w:rsidDel="00000000" w:rsidP="00000000" w:rsidRDefault="00000000" w:rsidRPr="00000000" w14:paraId="00000037">
            <w:pPr>
              <w:widowControl w:val="0"/>
              <w:numPr>
                <w:ilvl w:val="0"/>
                <w:numId w:val="1"/>
              </w:numPr>
              <w:spacing w:line="240" w:lineRule="auto"/>
              <w:ind w:left="27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IM route; should only be used when the IV route is not feasible</w:t>
            </w:r>
          </w:p>
          <w:p w:rsidR="00000000" w:rsidDel="00000000" w:rsidP="00000000" w:rsidRDefault="00000000" w:rsidRPr="00000000" w14:paraId="00000038">
            <w:pPr>
              <w:widowControl w:val="0"/>
              <w:numPr>
                <w:ilvl w:val="0"/>
                <w:numId w:val="1"/>
              </w:numPr>
              <w:spacing w:line="240" w:lineRule="auto"/>
              <w:ind w:left="720" w:hanging="36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 not use in horses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times:</w:t>
            </w:r>
          </w:p>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For meat: Cattle: 14 days</w:t>
            </w:r>
          </w:p>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Swine: 24 days</w:t>
            </w:r>
          </w:p>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milk- Cattle:</w:t>
            </w:r>
          </w:p>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days</w:t>
            </w:r>
          </w:p>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Antibiotic</w:t>
            </w:r>
          </w:p>
          <w:p w:rsidR="00000000" w:rsidDel="00000000" w:rsidP="00000000" w:rsidRDefault="00000000" w:rsidRPr="00000000" w14:paraId="000000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(Broad spectrum) long acting antipsychotic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Penstrep 400 </w:t>
            </w:r>
          </w:p>
          <w:p w:rsidR="00000000" w:rsidDel="00000000" w:rsidP="00000000" w:rsidRDefault="00000000" w:rsidRPr="00000000" w14:paraId="000000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(Procaine penicillin &amp; Dihydrostreptomycin)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200,000 IU/ml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penstrep(IM)-dosage-20,000mm/kg, conc -200,000mm,weight 500kg</w:t>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Volume =</w:t>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X Dosage/conc= 50 ml</w:t>
            </w:r>
          </w:p>
          <w:p w:rsidR="00000000" w:rsidDel="00000000" w:rsidP="00000000" w:rsidRDefault="00000000" w:rsidRPr="00000000" w14:paraId="00000047">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NB: more than 5ml should not be administered at a singular site in calves. 20ml was given per site in gluteal muscle.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Should not be used in</w:t>
            </w:r>
          </w:p>
          <w:p w:rsidR="00000000" w:rsidDel="00000000" w:rsidP="00000000" w:rsidRDefault="00000000" w:rsidRPr="00000000" w14:paraId="0000004A">
            <w:pPr>
              <w:widowControl w:val="0"/>
              <w:numPr>
                <w:ilvl w:val="0"/>
                <w:numId w:val="9"/>
              </w:numPr>
              <w:spacing w:line="240" w:lineRule="auto"/>
              <w:ind w:left="27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Animals hypersensitive to penicillins, procaine and/or aminoglycosides</w:t>
            </w:r>
          </w:p>
          <w:p w:rsidR="00000000" w:rsidDel="00000000" w:rsidP="00000000" w:rsidRDefault="00000000" w:rsidRPr="00000000" w14:paraId="0000004B">
            <w:pPr>
              <w:widowControl w:val="0"/>
              <w:numPr>
                <w:ilvl w:val="0"/>
                <w:numId w:val="9"/>
              </w:numPr>
              <w:spacing w:line="240" w:lineRule="auto"/>
              <w:ind w:left="27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Animals with impaired renal function</w:t>
            </w:r>
          </w:p>
          <w:p w:rsidR="00000000" w:rsidDel="00000000" w:rsidP="00000000" w:rsidRDefault="00000000" w:rsidRPr="00000000" w14:paraId="0000004C">
            <w:pPr>
              <w:widowControl w:val="0"/>
              <w:numPr>
                <w:ilvl w:val="0"/>
                <w:numId w:val="9"/>
              </w:numPr>
              <w:spacing w:line="240" w:lineRule="auto"/>
              <w:ind w:left="27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administration of tetracyclines chloramphenicol, macrolides and lincosamides.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times:</w:t>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kidneys: 45 days.</w:t>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For meat-21-30days</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For milk</w:t>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General anesthetic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ketamine(IV)- dose=1.0mg/kg</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Weight=500kg</w:t>
            </w:r>
          </w:p>
          <w:p w:rsidR="00000000" w:rsidDel="00000000" w:rsidP="00000000" w:rsidRDefault="00000000" w:rsidRPr="00000000" w14:paraId="0000005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Conc=100mg/ml</w:t>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(1.0mg/kg)(500kg)/100mg/ml</w:t>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Should not be administered with lungworm medication.</w:t>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parenteral administration in dogs, cats, horses, cattle, goals and swine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period:</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Meat: 16 days</w:t>
            </w:r>
          </w:p>
          <w:p w:rsidR="00000000" w:rsidDel="00000000" w:rsidP="00000000" w:rsidRDefault="00000000" w:rsidRPr="00000000" w14:paraId="0000005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Otherwise: 0days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Intra-op fluids (can be administered if fluid loss is extreme/emergent)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0.9%Saline (use 1L bag)</w:t>
            </w:r>
          </w:p>
          <w:p w:rsidR="00000000" w:rsidDel="00000000" w:rsidP="00000000" w:rsidRDefault="00000000" w:rsidRPr="00000000" w14:paraId="000000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62">
            <w:pPr>
              <w:spacing w:after="0" w:before="0" w:line="240" w:lineRule="auto"/>
              <w:ind w:left="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0.9% at 250ml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Calculated of Drip Rate in drops per sec</w:t>
            </w:r>
          </w:p>
          <w:p w:rsidR="00000000" w:rsidDel="00000000" w:rsidP="00000000" w:rsidRDefault="00000000" w:rsidRPr="00000000" w14:paraId="000000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(ml/min x drip factor)/60 = drops/sec</w:t>
            </w:r>
          </w:p>
          <w:p w:rsidR="00000000" w:rsidDel="00000000" w:rsidP="00000000" w:rsidRDefault="00000000" w:rsidRPr="00000000" w14:paraId="000000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250 × 20 = 83 / 60 = 1.4 = 3 drops/2sec</w:t>
            </w:r>
          </w:p>
          <w:p w:rsidR="00000000" w:rsidDel="00000000" w:rsidP="00000000" w:rsidRDefault="00000000" w:rsidRPr="00000000" w14:paraId="000000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before="0"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crystalloid that is normal saline which is used in the management and treatment of dehydration (e.g., hypovolemia, shock), metabolic alkalosis in the presence of fluid loss, and mild sodium depletion through bodily fluid such as 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before="0"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period: 0days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Tolazoline(xylazine reversal)(for emergency use)(2-4x sylazine dose)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X xvlazine dose IV</w:t>
            </w:r>
          </w:p>
          <w:p w:rsidR="00000000" w:rsidDel="00000000" w:rsidP="00000000" w:rsidRDefault="00000000" w:rsidRPr="00000000" w14:paraId="0000006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Eg. 0.1mg/kg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 = (0.1×500)/100 = 0.5mls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Reversal of xylazine should not be attempted until sufficient time has elapsed to allow the ketamine anesthesia if used to be resolved (15–20 minutes post-IV administration).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period</w:t>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Meat:8 days </w:t>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Milk: 48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Atropine(emergency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0.54 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0.04 mg/kg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 = (0.04 mg/kg)(500kg) / 0.54</w:t>
            </w:r>
          </w:p>
          <w:p w:rsidR="00000000" w:rsidDel="00000000" w:rsidP="00000000" w:rsidRDefault="00000000" w:rsidRPr="00000000" w14:paraId="0000007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mg/ml</w:t>
            </w:r>
          </w:p>
          <w:p w:rsidR="00000000" w:rsidDel="00000000" w:rsidP="00000000" w:rsidRDefault="00000000" w:rsidRPr="00000000" w14:paraId="0000007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 = 37.03 ml (= 2mg/500kg)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Use if</w:t>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bradycardia &lt;30bmp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period:</w:t>
            </w:r>
          </w:p>
          <w:p w:rsidR="00000000" w:rsidDel="00000000" w:rsidP="00000000" w:rsidRDefault="00000000" w:rsidRPr="00000000" w14:paraId="0000007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Meat: 14 days </w:t>
            </w:r>
          </w:p>
          <w:p w:rsidR="00000000" w:rsidDel="00000000" w:rsidP="00000000" w:rsidRDefault="00000000" w:rsidRPr="00000000" w14:paraId="0000007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Milk:3 days </w:t>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Epinephrine(emergency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1mg/kg</w:t>
            </w:r>
          </w:p>
          <w:p w:rsidR="00000000" w:rsidDel="00000000" w:rsidP="00000000" w:rsidRDefault="00000000" w:rsidRPr="00000000" w14:paraId="000000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0.02mg/kg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 = (0.02 mg/kg)(500 kg) / 1</w:t>
            </w:r>
          </w:p>
          <w:p w:rsidR="00000000" w:rsidDel="00000000" w:rsidP="00000000" w:rsidRDefault="00000000" w:rsidRPr="00000000" w14:paraId="0000008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mg/ml</w:t>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 10 ml</w:t>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anaphylactic rxns </w:t>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 not use on extremities it’ll block blood supply and cause sloughing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withdrawal period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tetanus anti-toxin Behring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1mg/kg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10-50,000units(cattle) </w:t>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3000-15000units for small ruminants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(500)(1)/(50,000)</w:t>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=0.01 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Antitoxin provides immediate passive immunity lasting 7 - 14 days.</w:t>
            </w:r>
          </w:p>
          <w:p w:rsidR="00000000" w:rsidDel="00000000" w:rsidP="00000000" w:rsidRDefault="00000000" w:rsidRPr="00000000" w14:paraId="00000092">
            <w:pPr>
              <w:widowControl w:val="0"/>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use as an aid in the prevention and treatment of tetanus in cattle, swine, sheep and goats. Recommended whenever a non-immunized animal, or one whose status is unknown, suffers a deep penetrating wound that has or may become contaminated with soil. Provides quick, short-term protection. Also ideal following castration and docking.</w:t>
            </w:r>
          </w:p>
          <w:p w:rsidR="00000000" w:rsidDel="00000000" w:rsidP="00000000" w:rsidRDefault="00000000" w:rsidRPr="00000000" w14:paraId="00000093">
            <w:pPr>
              <w:widowControl w:val="0"/>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Anaphylactoid reactions may occur. Antidote : Epinephrine.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period</w:t>
            </w:r>
          </w:p>
          <w:p w:rsidR="00000000" w:rsidDel="00000000" w:rsidP="00000000" w:rsidRDefault="00000000" w:rsidRPr="00000000" w14:paraId="00000095">
            <w:pPr>
              <w:widowControl w:val="0"/>
              <w:numPr>
                <w:ilvl w:val="0"/>
                <w:numId w:val="6"/>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meat and milk 21 days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Ivermectin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0.08% orally and 1% injectable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200µg/kg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oral conc-0.8mg/ml</w:t>
            </w:r>
          </w:p>
          <w:p w:rsidR="00000000" w:rsidDel="00000000" w:rsidP="00000000" w:rsidRDefault="00000000" w:rsidRPr="00000000" w14:paraId="0000009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X Dosage/</w:t>
            </w:r>
          </w:p>
          <w:p w:rsidR="00000000" w:rsidDel="00000000" w:rsidP="00000000" w:rsidRDefault="00000000" w:rsidRPr="00000000" w14:paraId="0000009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w:t>
            </w:r>
          </w:p>
          <w:p w:rsidR="00000000" w:rsidDel="00000000" w:rsidP="00000000" w:rsidRDefault="00000000" w:rsidRPr="00000000" w14:paraId="0000009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=(500)(0.8)/200</w:t>
            </w:r>
          </w:p>
          <w:p w:rsidR="00000000" w:rsidDel="00000000" w:rsidP="00000000" w:rsidRDefault="00000000" w:rsidRPr="00000000" w14:paraId="0000009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=2mg/kg</w:t>
            </w:r>
          </w:p>
          <w:p w:rsidR="00000000" w:rsidDel="00000000" w:rsidP="00000000" w:rsidRDefault="00000000" w:rsidRPr="00000000" w14:paraId="0000009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Injectable conc-10mg/ml</w:t>
            </w:r>
          </w:p>
          <w:p w:rsidR="00000000" w:rsidDel="00000000" w:rsidP="00000000" w:rsidRDefault="00000000" w:rsidRPr="00000000" w14:paraId="0000009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X Dosage/</w:t>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w:t>
            </w:r>
          </w:p>
          <w:p w:rsidR="00000000" w:rsidDel="00000000" w:rsidP="00000000" w:rsidRDefault="00000000" w:rsidRPr="00000000" w14:paraId="000000A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=(500)(10)/200</w:t>
            </w:r>
          </w:p>
          <w:p w:rsidR="00000000" w:rsidDel="00000000" w:rsidP="00000000" w:rsidRDefault="00000000" w:rsidRPr="00000000" w14:paraId="000000A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=25mg/kg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0"/>
                <w:numId w:val="7"/>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Oral Ivermectin is 0.08% and 1% for the injectable formulation, both can be used as Anti-myiasis/anti-parasitic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period</w:t>
            </w:r>
          </w:p>
          <w:p w:rsidR="00000000" w:rsidDel="00000000" w:rsidP="00000000" w:rsidRDefault="00000000" w:rsidRPr="00000000" w14:paraId="000000A5">
            <w:pPr>
              <w:widowControl w:val="0"/>
              <w:numPr>
                <w:ilvl w:val="0"/>
                <w:numId w:val="4"/>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meat 25 days </w:t>
            </w:r>
            <w:r w:rsidDel="00000000" w:rsidR="00000000" w:rsidRPr="00000000">
              <w:rPr>
                <w:rtl w:val="0"/>
              </w:rPr>
            </w:r>
          </w:p>
          <w:p w:rsidR="00000000" w:rsidDel="00000000" w:rsidP="00000000" w:rsidRDefault="00000000" w:rsidRPr="00000000" w14:paraId="000000A6">
            <w:pPr>
              <w:widowControl w:val="0"/>
              <w:numPr>
                <w:ilvl w:val="0"/>
                <w:numId w:val="4"/>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Milk approx 16 days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Oxytetracycline (Broad spectrum antibiotic)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injectable or topical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200mg/ml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Dosage =20mg/kg </w:t>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Conc=200mg/ml</w:t>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=(500)(20)/(200)</w:t>
            </w:r>
          </w:p>
          <w:p w:rsidR="00000000" w:rsidDel="00000000" w:rsidP="00000000" w:rsidRDefault="00000000" w:rsidRPr="00000000" w14:paraId="000000A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=50mg/kg</w:t>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Cattle:</w:t>
            </w:r>
            <w:r w:rsidDel="00000000" w:rsidR="00000000" w:rsidRPr="00000000">
              <w:rPr>
                <w:rFonts w:ascii="Times New Roman" w:cs="Times New Roman" w:eastAsia="Times New Roman" w:hAnsi="Times New Roman"/>
                <w:sz w:val="18"/>
                <w:szCs w:val="18"/>
                <w:rtl w:val="0"/>
              </w:rPr>
              <w:t xml:space="preserve"> Oxytetracycline Injection 200 is indicated in the treatment of pneumonia and shipping fever complex associated with </w:t>
            </w:r>
            <w:r w:rsidDel="00000000" w:rsidR="00000000" w:rsidRPr="00000000">
              <w:rPr>
                <w:rFonts w:ascii="Times New Roman" w:cs="Times New Roman" w:eastAsia="Times New Roman" w:hAnsi="Times New Roman"/>
                <w:i w:val="1"/>
                <w:sz w:val="18"/>
                <w:szCs w:val="18"/>
                <w:rtl w:val="0"/>
              </w:rPr>
              <w:t xml:space="preserve">Pasteurella</w:t>
            </w:r>
            <w:r w:rsidDel="00000000" w:rsidR="00000000" w:rsidRPr="00000000">
              <w:rPr>
                <w:rFonts w:ascii="Times New Roman" w:cs="Times New Roman" w:eastAsia="Times New Roman" w:hAnsi="Times New Roman"/>
                <w:sz w:val="18"/>
                <w:szCs w:val="18"/>
                <w:rtl w:val="0"/>
              </w:rPr>
              <w:t xml:space="preserve"> spp. and </w:t>
            </w:r>
            <w:r w:rsidDel="00000000" w:rsidR="00000000" w:rsidRPr="00000000">
              <w:rPr>
                <w:rFonts w:ascii="Times New Roman" w:cs="Times New Roman" w:eastAsia="Times New Roman" w:hAnsi="Times New Roman"/>
                <w:i w:val="1"/>
                <w:sz w:val="18"/>
                <w:szCs w:val="18"/>
                <w:rtl w:val="0"/>
              </w:rPr>
              <w:t xml:space="preserve">Haemophilus</w:t>
            </w:r>
            <w:r w:rsidDel="00000000" w:rsidR="00000000" w:rsidRPr="00000000">
              <w:rPr>
                <w:rFonts w:ascii="Times New Roman" w:cs="Times New Roman" w:eastAsia="Times New Roman" w:hAnsi="Times New Roman"/>
                <w:sz w:val="18"/>
                <w:szCs w:val="18"/>
                <w:rtl w:val="0"/>
              </w:rPr>
              <w:t xml:space="preserve"> spp.; infectious bovine keratoconjunctivitis (pink eye) caused by </w:t>
            </w:r>
            <w:r w:rsidDel="00000000" w:rsidR="00000000" w:rsidRPr="00000000">
              <w:rPr>
                <w:rFonts w:ascii="Times New Roman" w:cs="Times New Roman" w:eastAsia="Times New Roman" w:hAnsi="Times New Roman"/>
                <w:i w:val="1"/>
                <w:sz w:val="18"/>
                <w:szCs w:val="18"/>
                <w:rtl w:val="0"/>
              </w:rPr>
              <w:t xml:space="preserve">Moraxella bovis;</w:t>
            </w:r>
            <w:r w:rsidDel="00000000" w:rsidR="00000000" w:rsidRPr="00000000">
              <w:rPr>
                <w:rFonts w:ascii="Times New Roman" w:cs="Times New Roman" w:eastAsia="Times New Roman" w:hAnsi="Times New Roman"/>
                <w:sz w:val="18"/>
                <w:szCs w:val="18"/>
                <w:rtl w:val="0"/>
              </w:rPr>
              <w:t xml:space="preserve"> foot rot and diphtheria caused by </w:t>
            </w:r>
            <w:r w:rsidDel="00000000" w:rsidR="00000000" w:rsidRPr="00000000">
              <w:rPr>
                <w:rFonts w:ascii="Times New Roman" w:cs="Times New Roman" w:eastAsia="Times New Roman" w:hAnsi="Times New Roman"/>
                <w:i w:val="1"/>
                <w:sz w:val="18"/>
                <w:szCs w:val="18"/>
                <w:rtl w:val="0"/>
              </w:rPr>
              <w:t xml:space="preserve">Fusobacterium necrophorum;</w:t>
            </w:r>
            <w:r w:rsidDel="00000000" w:rsidR="00000000" w:rsidRPr="00000000">
              <w:rPr>
                <w:rFonts w:ascii="Times New Roman" w:cs="Times New Roman" w:eastAsia="Times New Roman" w:hAnsi="Times New Roman"/>
                <w:sz w:val="18"/>
                <w:szCs w:val="18"/>
                <w:rtl w:val="0"/>
              </w:rPr>
              <w:t xml:space="preserve"> bacterial enteritis (scours) caused by </w:t>
            </w:r>
            <w:r w:rsidDel="00000000" w:rsidR="00000000" w:rsidRPr="00000000">
              <w:rPr>
                <w:rFonts w:ascii="Times New Roman" w:cs="Times New Roman" w:eastAsia="Times New Roman" w:hAnsi="Times New Roman"/>
                <w:i w:val="1"/>
                <w:sz w:val="18"/>
                <w:szCs w:val="18"/>
                <w:rtl w:val="0"/>
              </w:rPr>
              <w:t xml:space="preserve">Escherichia coli;</w:t>
            </w:r>
            <w:r w:rsidDel="00000000" w:rsidR="00000000" w:rsidRPr="00000000">
              <w:rPr>
                <w:rFonts w:ascii="Times New Roman" w:cs="Times New Roman" w:eastAsia="Times New Roman" w:hAnsi="Times New Roman"/>
                <w:sz w:val="18"/>
                <w:szCs w:val="18"/>
                <w:rtl w:val="0"/>
              </w:rPr>
              <w:t xml:space="preserve"> wooden tongue caused by </w:t>
            </w:r>
            <w:r w:rsidDel="00000000" w:rsidR="00000000" w:rsidRPr="00000000">
              <w:rPr>
                <w:rFonts w:ascii="Times New Roman" w:cs="Times New Roman" w:eastAsia="Times New Roman" w:hAnsi="Times New Roman"/>
                <w:i w:val="1"/>
                <w:sz w:val="18"/>
                <w:szCs w:val="18"/>
                <w:rtl w:val="0"/>
              </w:rPr>
              <w:t xml:space="preserve">Actinobacillus lignieresii;</w:t>
            </w:r>
            <w:r w:rsidDel="00000000" w:rsidR="00000000" w:rsidRPr="00000000">
              <w:rPr>
                <w:rFonts w:ascii="Times New Roman" w:cs="Times New Roman" w:eastAsia="Times New Roman" w:hAnsi="Times New Roman"/>
                <w:sz w:val="18"/>
                <w:szCs w:val="18"/>
                <w:rtl w:val="0"/>
              </w:rPr>
              <w:t xml:space="preserve"> leptospirosis caused by </w:t>
            </w:r>
            <w:r w:rsidDel="00000000" w:rsidR="00000000" w:rsidRPr="00000000">
              <w:rPr>
                <w:rFonts w:ascii="Times New Roman" w:cs="Times New Roman" w:eastAsia="Times New Roman" w:hAnsi="Times New Roman"/>
                <w:i w:val="1"/>
                <w:sz w:val="18"/>
                <w:szCs w:val="18"/>
                <w:rtl w:val="0"/>
              </w:rPr>
              <w:t xml:space="preserve">Leptospira pomona;</w:t>
            </w:r>
            <w:r w:rsidDel="00000000" w:rsidR="00000000" w:rsidRPr="00000000">
              <w:rPr>
                <w:rFonts w:ascii="Times New Roman" w:cs="Times New Roman" w:eastAsia="Times New Roman" w:hAnsi="Times New Roman"/>
                <w:sz w:val="18"/>
                <w:szCs w:val="18"/>
                <w:rtl w:val="0"/>
              </w:rPr>
              <w:t xml:space="preserve"> and wound infections and acute metritis caused by strains of staphylococci and streptococci organisms sensitive to oxytetracycline similar for small ruminants.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Withdrawal period</w:t>
            </w:r>
          </w:p>
          <w:p w:rsidR="00000000" w:rsidDel="00000000" w:rsidP="00000000" w:rsidRDefault="00000000" w:rsidRPr="00000000" w14:paraId="000000B2">
            <w:pPr>
              <w:widowControl w:val="0"/>
              <w:numPr>
                <w:ilvl w:val="0"/>
                <w:numId w:val="8"/>
              </w:numPr>
              <w:spacing w:line="24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meat 28 days </w:t>
            </w:r>
          </w:p>
          <w:p w:rsidR="00000000" w:rsidDel="00000000" w:rsidP="00000000" w:rsidRDefault="00000000" w:rsidRPr="00000000" w14:paraId="000000B3">
            <w:pPr>
              <w:widowControl w:val="0"/>
              <w:numPr>
                <w:ilvl w:val="0"/>
                <w:numId w:val="8"/>
              </w:numPr>
              <w:spacing w:line="240" w:lineRule="auto"/>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Milk 96 hours/ 4 days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Chlorohexidine (antiseptic)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concentration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Style w:val="Heading1"/>
              <w:keepNext w:val="0"/>
              <w:keepLines w:val="0"/>
              <w:widowControl w:val="0"/>
              <w:spacing w:before="0" w:line="335.99999999999994" w:lineRule="auto"/>
              <w:rPr>
                <w:rFonts w:ascii="Times New Roman" w:cs="Times New Roman" w:eastAsia="Times New Roman" w:hAnsi="Times New Roman"/>
                <w:b w:val="1"/>
                <w:sz w:val="20"/>
                <w:szCs w:val="20"/>
              </w:rPr>
            </w:pPr>
            <w:bookmarkStart w:colFirst="0" w:colLast="0" w:name="_heading=h.56tr2f6obnve" w:id="0"/>
            <w:bookmarkEnd w:id="0"/>
            <w:r w:rsidDel="00000000" w:rsidR="00000000" w:rsidRPr="00000000">
              <w:rPr>
                <w:rFonts w:ascii="Times New Roman" w:cs="Times New Roman" w:eastAsia="Times New Roman" w:hAnsi="Times New Roman"/>
                <w:sz w:val="20"/>
                <w:szCs w:val="20"/>
                <w:rtl w:val="0"/>
              </w:rPr>
              <w:t xml:space="preserve">Chlorhexidine provides superior skin decontamination in foot and ankle surgery</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antiseptic agent, with both antibacterial and antifungal properties</w:t>
            </w:r>
            <w:r w:rsidDel="00000000" w:rsidR="00000000" w:rsidRPr="00000000">
              <w:rPr>
                <w:rFonts w:ascii="Times New Roman" w:cs="Times New Roman" w:eastAsia="Times New Roman" w:hAnsi="Times New Roman"/>
                <w:sz w:val="20"/>
                <w:szCs w:val="20"/>
                <w:rtl w:val="0"/>
              </w:rPr>
              <w:t xml:space="preserve">. It is a widely used broad-spectrum biocide, killing micro-organisms through cell membrane disruption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Iodine (antiseptic)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concentration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20"/>
                <w:szCs w:val="20"/>
                <w:rtl w:val="0"/>
              </w:rPr>
              <w:t xml:space="preserve">Re</w:t>
            </w:r>
            <w:r w:rsidDel="00000000" w:rsidR="00000000" w:rsidRPr="00000000">
              <w:rPr>
                <w:rFonts w:ascii="Times New Roman" w:cs="Times New Roman" w:eastAsia="Times New Roman" w:hAnsi="Times New Roman"/>
                <w:sz w:val="20"/>
                <w:szCs w:val="20"/>
                <w:rtl w:val="0"/>
              </w:rPr>
              <w:t xml:space="preserve">duction in the incidence of digital dermatitis</w:t>
            </w:r>
            <w:r w:rsidDel="00000000" w:rsidR="00000000" w:rsidRPr="00000000">
              <w:rPr>
                <w:rFonts w:ascii="Times New Roman" w:cs="Times New Roman" w:eastAsia="Times New Roman" w:hAnsi="Times New Roman"/>
                <w:sz w:val="20"/>
                <w:szCs w:val="20"/>
                <w:rtl w:val="0"/>
              </w:rPr>
              <w:t xml:space="preserve">, and hoof lesions are smaller </w:t>
            </w:r>
            <w:r w:rsidDel="00000000" w:rsidR="00000000" w:rsidRPr="00000000">
              <w:rPr>
                <w:rFonts w:ascii="Times New Roman" w:cs="Times New Roman" w:eastAsia="Times New Roman" w:hAnsi="Times New Roman"/>
                <w:sz w:val="20"/>
                <w:szCs w:val="20"/>
                <w:rtl w:val="0"/>
              </w:rPr>
              <w:t xml:space="preserve">used on the sole of the hoof to prevent and treat fungal and bacterial infections. It also hardens the hoof great antiseptic.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bl>
    <w:p w:rsidR="00000000" w:rsidDel="00000000" w:rsidP="00000000" w:rsidRDefault="00000000" w:rsidRPr="00000000" w14:paraId="000000C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1">
      <w:pPr>
        <w:spacing w:line="353.4545454545455"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Observe animals for the following 7 days and treat any complications that arise.</w:t>
      </w:r>
    </w:p>
    <w:p w:rsidR="00000000" w:rsidDel="00000000" w:rsidP="00000000" w:rsidRDefault="00000000" w:rsidRPr="00000000" w14:paraId="000000C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Ketamine + Xylazine for breakthrough = half sedation dose (0.13ml xylazine + ketamine 0.5ml) PRN /2</w:t>
      </w:r>
    </w:p>
    <w:p w:rsidR="00000000" w:rsidDel="00000000" w:rsidP="00000000" w:rsidRDefault="00000000" w:rsidRPr="00000000" w14:paraId="000000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Rate of Fluid delivery = 5</w:t>
      </w:r>
    </w:p>
    <w:p w:rsidR="00000000" w:rsidDel="00000000" w:rsidP="00000000" w:rsidRDefault="00000000" w:rsidRPr="00000000" w14:paraId="000000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Drop factor = 20 drops/ml</w:t>
      </w:r>
    </w:p>
    <w:p w:rsidR="00000000" w:rsidDel="00000000" w:rsidP="00000000" w:rsidRDefault="00000000" w:rsidRPr="00000000" w14:paraId="000000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Atipamazole or yohimbine are more commonly used than tolazoline as a xylazine antagonist and can be used as xylazine reversal in cases of emergencies.</w:t>
      </w:r>
    </w:p>
    <w:p w:rsidR="00000000" w:rsidDel="00000000" w:rsidP="00000000" w:rsidRDefault="00000000" w:rsidRPr="00000000" w14:paraId="000000C7">
      <w:pPr>
        <w:rPr/>
      </w:pPr>
      <w:r w:rsidDel="00000000" w:rsidR="00000000" w:rsidRPr="00000000">
        <w:rPr/>
        <w:drawing>
          <wp:inline distB="114300" distT="114300" distL="114300" distR="114300">
            <wp:extent cx="4341998" cy="120611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341998" cy="120611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NSllCZuX8Uf0Q9+HcevdkMntw==">CgMxLjAyDmguNTZ0cjJmNm9ibnZlOAByITFObzF4dEJyYmhNdlpncTVlTy1GRVVXT3dxVzA1ZTBabA==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