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BF" w:rsidRPr="00955D0A" w:rsidRDefault="001624BF" w:rsidP="001624BF">
      <w:pPr>
        <w:spacing w:line="240" w:lineRule="auto"/>
        <w:rPr>
          <w:rFonts w:ascii="Times New Roman" w:eastAsia="Times New Roman" w:hAnsi="Times New Roman" w:cs="Times New Roman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sz w:val="38"/>
          <w:szCs w:val="38"/>
          <w:u w:val="single"/>
        </w:rPr>
        <w:t xml:space="preserve">Skin </w:t>
      </w:r>
      <w:r w:rsidRPr="00955D0A">
        <w:rPr>
          <w:rFonts w:ascii="Times New Roman" w:eastAsia="Times New Roman" w:hAnsi="Times New Roman" w:cs="Times New Roman"/>
          <w:sz w:val="38"/>
          <w:szCs w:val="38"/>
          <w:u w:val="single"/>
        </w:rPr>
        <w:t>Preparation</w:t>
      </w:r>
    </w:p>
    <w:p w:rsidR="001624BF" w:rsidRPr="00955D0A" w:rsidRDefault="001624BF" w:rsidP="001624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>Cleaning the coat and skin with surgical scrub and then alcohol is sufficient in most instances</w:t>
      </w:r>
    </w:p>
    <w:p w:rsidR="001624BF" w:rsidRPr="00955D0A" w:rsidRDefault="001624BF" w:rsidP="001624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>Clip and clean skin of hairy (ask the owner’s permission first) or mud-caked horses with surgical scrub</w:t>
      </w:r>
    </w:p>
    <w:p w:rsidR="001624BF" w:rsidRPr="00955D0A" w:rsidRDefault="001624BF" w:rsidP="001624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>Perform aseptic preparation if there is a risk of inadvertently penetrating a synovial cavity, e.g., local analgesia of the palmar metacarpal nerves just distal to the carpus (part of high 4-point nerve block)</w:t>
      </w:r>
    </w:p>
    <w:p w:rsidR="001624BF" w:rsidRDefault="001624BF" w:rsidP="001624BF">
      <w:pPr>
        <w:spacing w:line="240" w:lineRule="auto"/>
        <w:rPr>
          <w:rFonts w:ascii="Times New Roman" w:eastAsia="Times New Roman" w:hAnsi="Times New Roman" w:cs="Times New Roman"/>
          <w:sz w:val="38"/>
          <w:szCs w:val="38"/>
          <w:u w:val="single"/>
        </w:rPr>
      </w:pPr>
    </w:p>
    <w:p w:rsidR="001624BF" w:rsidRPr="00955D0A" w:rsidRDefault="001624BF" w:rsidP="001624BF">
      <w:pPr>
        <w:spacing w:line="240" w:lineRule="auto"/>
        <w:rPr>
          <w:rFonts w:ascii="Times New Roman" w:eastAsia="Times New Roman" w:hAnsi="Times New Roman" w:cs="Times New Roman"/>
          <w:sz w:val="38"/>
          <w:szCs w:val="38"/>
          <w:u w:val="single"/>
        </w:rPr>
      </w:pPr>
      <w:r w:rsidRPr="00955D0A">
        <w:rPr>
          <w:rFonts w:ascii="Times New Roman" w:eastAsia="Times New Roman" w:hAnsi="Times New Roman" w:cs="Times New Roman"/>
          <w:sz w:val="38"/>
          <w:szCs w:val="38"/>
          <w:u w:val="single"/>
        </w:rPr>
        <w:t>Technique</w:t>
      </w:r>
    </w:p>
    <w:p w:rsidR="001624BF" w:rsidRPr="00955D0A" w:rsidRDefault="001624BF" w:rsidP="001624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>Work in a distal to proximal sequence to localize the source of pain most accurately</w:t>
      </w:r>
    </w:p>
    <w:p w:rsidR="001624BF" w:rsidRPr="00955D0A" w:rsidRDefault="001624BF" w:rsidP="001624B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>Not well tolerated by all horses</w:t>
      </w:r>
    </w:p>
    <w:p w:rsidR="002C60FC" w:rsidRDefault="001624BF" w:rsidP="002C60F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A twitch or holding up the </w:t>
      </w:r>
      <w:proofErr w:type="spellStart"/>
      <w:r w:rsidRPr="00955D0A">
        <w:rPr>
          <w:rFonts w:ascii="Times New Roman" w:eastAsia="Times New Roman" w:hAnsi="Times New Roman" w:cs="Times New Roman"/>
          <w:sz w:val="38"/>
          <w:szCs w:val="38"/>
        </w:rPr>
        <w:t>ipsilateral</w:t>
      </w:r>
      <w:proofErr w:type="spellEnd"/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 forelimb (when appropriate) may be helpful</w:t>
      </w:r>
      <w:r w:rsidR="002C60FC">
        <w:rPr>
          <w:rFonts w:ascii="Times New Roman" w:eastAsia="Times New Roman" w:hAnsi="Times New Roman" w:cs="Times New Roman"/>
          <w:sz w:val="38"/>
          <w:szCs w:val="38"/>
        </w:rPr>
        <w:t>.</w:t>
      </w:r>
    </w:p>
    <w:p w:rsidR="002C60FC" w:rsidRDefault="001624BF" w:rsidP="002C60F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2C60FC">
        <w:rPr>
          <w:rFonts w:ascii="Times New Roman" w:eastAsia="Times New Roman" w:hAnsi="Times New Roman" w:cs="Times New Roman"/>
          <w:sz w:val="38"/>
          <w:szCs w:val="38"/>
        </w:rPr>
        <w:t xml:space="preserve">In some horses it is necessary to use chemical restraint, e.g., a low dose of an alpha-2 agonist (0.2mg/kg </w:t>
      </w:r>
      <w:proofErr w:type="spellStart"/>
      <w:r w:rsidRPr="002C60FC">
        <w:rPr>
          <w:rFonts w:ascii="Times New Roman" w:eastAsia="Times New Roman" w:hAnsi="Times New Roman" w:cs="Times New Roman"/>
          <w:sz w:val="38"/>
          <w:szCs w:val="38"/>
        </w:rPr>
        <w:t>xylazine</w:t>
      </w:r>
      <w:proofErr w:type="spellEnd"/>
      <w:r w:rsidRPr="002C60FC">
        <w:rPr>
          <w:rFonts w:ascii="Times New Roman" w:eastAsia="Times New Roman" w:hAnsi="Times New Roman" w:cs="Times New Roman"/>
          <w:sz w:val="38"/>
          <w:szCs w:val="38"/>
        </w:rPr>
        <w:t xml:space="preserve">), </w:t>
      </w:r>
      <w:proofErr w:type="spellStart"/>
      <w:r w:rsidRPr="002C60FC">
        <w:rPr>
          <w:rFonts w:ascii="Times New Roman" w:eastAsia="Times New Roman" w:hAnsi="Times New Roman" w:cs="Times New Roman"/>
          <w:sz w:val="38"/>
          <w:szCs w:val="38"/>
        </w:rPr>
        <w:t>acepromazine</w:t>
      </w:r>
      <w:proofErr w:type="spellEnd"/>
      <w:r w:rsidRPr="002C60FC">
        <w:rPr>
          <w:rFonts w:ascii="Times New Roman" w:eastAsia="Times New Roman" w:hAnsi="Times New Roman" w:cs="Times New Roman"/>
          <w:sz w:val="38"/>
          <w:szCs w:val="38"/>
        </w:rPr>
        <w:t xml:space="preserve"> (10-15mg total dose), combination of alpha-2 agonist and </w:t>
      </w:r>
      <w:proofErr w:type="spellStart"/>
      <w:r w:rsidRPr="002C60FC">
        <w:rPr>
          <w:rFonts w:ascii="Times New Roman" w:eastAsia="Times New Roman" w:hAnsi="Times New Roman" w:cs="Times New Roman"/>
          <w:sz w:val="38"/>
          <w:szCs w:val="38"/>
        </w:rPr>
        <w:t>butorphanol</w:t>
      </w:r>
      <w:proofErr w:type="spellEnd"/>
      <w:r w:rsidRPr="002C60FC">
        <w:rPr>
          <w:rFonts w:ascii="Times New Roman" w:eastAsia="Times New Roman" w:hAnsi="Times New Roman" w:cs="Times New Roman"/>
          <w:sz w:val="38"/>
          <w:szCs w:val="38"/>
        </w:rPr>
        <w:t>.</w:t>
      </w:r>
    </w:p>
    <w:p w:rsidR="002C60FC" w:rsidRPr="002C60FC" w:rsidRDefault="002C60FC" w:rsidP="002C60F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bookmarkStart w:id="0" w:name="_GoBack"/>
      <w:bookmarkEnd w:id="0"/>
      <w:r w:rsidRPr="002C60FC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 w:rsidRPr="002C60FC">
        <w:rPr>
          <w:rFonts w:ascii="Times New Roman" w:eastAsia="Times New Roman" w:hAnsi="Times New Roman" w:cs="Times New Roman"/>
          <w:sz w:val="38"/>
          <w:szCs w:val="38"/>
        </w:rPr>
        <w:t>You can’t sedate heavily, because you have to observe them trotting in between blocks to actually assess the lameness</w:t>
      </w:r>
    </w:p>
    <w:p w:rsidR="001624BF" w:rsidRPr="00955D0A" w:rsidRDefault="001624BF" w:rsidP="002C60FC">
      <w:pPr>
        <w:spacing w:line="240" w:lineRule="auto"/>
        <w:ind w:left="720"/>
        <w:rPr>
          <w:rFonts w:ascii="Times New Roman" w:eastAsia="Times New Roman" w:hAnsi="Times New Roman" w:cs="Times New Roman"/>
          <w:sz w:val="38"/>
          <w:szCs w:val="38"/>
        </w:rPr>
      </w:pPr>
    </w:p>
    <w:p w:rsidR="003D27BF" w:rsidRDefault="003D27BF"/>
    <w:sectPr w:rsidR="003D2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D0407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4B80F0A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BF"/>
    <w:rsid w:val="001624BF"/>
    <w:rsid w:val="002C60FC"/>
    <w:rsid w:val="003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C7D47-F894-457B-9C43-ACD22848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4BF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>HP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2</cp:revision>
  <dcterms:created xsi:type="dcterms:W3CDTF">2023-11-14T23:24:00Z</dcterms:created>
  <dcterms:modified xsi:type="dcterms:W3CDTF">2023-11-14T23:31:00Z</dcterms:modified>
</cp:coreProperties>
</file>